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Pr="000A1C1A" w:rsidRDefault="000A1C1A" w:rsidP="00954110">
      <w:pPr>
        <w:pStyle w:val="Title"/>
        <w:rPr>
          <w:rFonts w:ascii="Maiandra GD" w:hAnsi="Maiandra GD"/>
          <w:lang w:val="en-GB"/>
        </w:rPr>
      </w:pPr>
      <w:r w:rsidRPr="000A1C1A">
        <w:rPr>
          <w:rFonts w:ascii="Maiandra GD" w:hAnsi="Maiandra GD"/>
          <w:lang w:val="en-GB"/>
        </w:rPr>
        <w:t>RESPONSE MONITORING</w:t>
      </w:r>
      <w:r w:rsidR="009979A8" w:rsidRPr="000A1C1A">
        <w:rPr>
          <w:rFonts w:ascii="Maiandra GD" w:hAnsi="Maiandra GD"/>
          <w:lang w:val="en-GB"/>
        </w:rPr>
        <w:t xml:space="preserve"> TASK FORCE</w:t>
      </w:r>
      <w:r w:rsidR="005A4C69">
        <w:rPr>
          <w:rFonts w:ascii="Maiandra GD" w:hAnsi="Maiandra GD"/>
          <w:lang w:val="en-GB"/>
        </w:rPr>
        <w:t xml:space="preserve"> – MEETING 2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8-11-08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0A1C1A" w:rsidRDefault="005A4C69" w:rsidP="009979A8">
                <w:pPr>
                  <w:pStyle w:val="Details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November 8, 2018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5A4C69" w:rsidP="009979A8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15:00-16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EF3B1A" w:rsidP="00B92F10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6204">
              <w:rPr>
                <w:rFonts w:ascii="Times New Roman" w:hAnsi="Times New Roman"/>
                <w:sz w:val="24"/>
                <w:szCs w:val="24"/>
                <w:lang w:val="en-GB"/>
              </w:rPr>
              <w:t>UNHCR</w:t>
            </w:r>
            <w:r w:rsidR="008615EB" w:rsidRPr="003362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BOARDROOM</w:t>
            </w:r>
          </w:p>
        </w:tc>
      </w:tr>
    </w:tbl>
    <w:p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0A1C1A" w:rsidRDefault="009979A8" w:rsidP="00B92F1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IM</w:t>
            </w:r>
            <w:r w:rsidR="00962B7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 LEADER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0A1C1A" w:rsidP="00B92F1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55A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COORDINATION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F63C83" w:rsidRDefault="00F63C83" w:rsidP="00F63C8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BO HURKMANS (UNHCR),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CHARLES MATOVU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(UNHCR), HI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LARY MUMBERE (UNHCR),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DENNIS TUMUSIIME (WFP)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, SARAH COLLMAN (REACH),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JOHN PAUL MUZEI (REACH),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BYARUBAHANGA GODFREY</w:t>
            </w:r>
          </w:p>
          <w:p w:rsidR="00F63C83" w:rsidRPr="000A1C1A" w:rsidRDefault="00F63C83" w:rsidP="00F63C8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(OPM), MBABAZI JOHN BOSCO (FAO), KUTEESA MOSES ANGEL (SAMARITAN’S PURSE)</w:t>
            </w:r>
          </w:p>
        </w:tc>
      </w:tr>
    </w:tbl>
    <w:p w:rsidR="0062649D" w:rsidRPr="000A1C1A" w:rsidRDefault="0062649D" w:rsidP="00BD05B7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 w:rsidRPr="000A1C1A">
        <w:rPr>
          <w:rFonts w:ascii="Times New Roman" w:hAnsi="Times New Roman"/>
          <w:szCs w:val="24"/>
          <w:lang w:val="en-GB"/>
        </w:rPr>
        <w:t xml:space="preserve">Agenda topics, </w:t>
      </w:r>
      <w:r w:rsidR="0052620C" w:rsidRPr="000A1C1A">
        <w:rPr>
          <w:rFonts w:ascii="Times New Roman" w:hAnsi="Times New Roman"/>
          <w:szCs w:val="24"/>
          <w:lang w:val="en-GB"/>
        </w:rPr>
        <w:tab/>
      </w:r>
      <w:r w:rsidR="00C6100D" w:rsidRPr="000A1C1A">
        <w:rPr>
          <w:rFonts w:ascii="Times New Roman" w:hAnsi="Times New Roman"/>
          <w:szCs w:val="24"/>
          <w:lang w:val="en-GB"/>
        </w:rPr>
        <w:t>Opening r</w:t>
      </w:r>
      <w:r w:rsidR="005E14C5" w:rsidRPr="000A1C1A">
        <w:rPr>
          <w:rFonts w:ascii="Times New Roman" w:hAnsi="Times New Roman"/>
          <w:szCs w:val="24"/>
          <w:lang w:val="en-GB"/>
        </w:rPr>
        <w:t>emarks,</w:t>
      </w:r>
      <w:r w:rsidR="00C6100D" w:rsidRPr="000A1C1A">
        <w:rPr>
          <w:rFonts w:ascii="Times New Roman" w:hAnsi="Times New Roman"/>
          <w:szCs w:val="24"/>
          <w:lang w:val="en-GB"/>
        </w:rPr>
        <w:t xml:space="preserve"> </w:t>
      </w:r>
      <w:r w:rsidR="00AF194A">
        <w:rPr>
          <w:rFonts w:ascii="Times New Roman" w:hAnsi="Times New Roman"/>
          <w:szCs w:val="24"/>
          <w:lang w:val="en-GB"/>
        </w:rPr>
        <w:t>Agreement on r</w:t>
      </w:r>
      <w:r w:rsidR="00C6100D" w:rsidRPr="000A1C1A">
        <w:rPr>
          <w:rFonts w:ascii="Times New Roman" w:hAnsi="Times New Roman"/>
          <w:szCs w:val="24"/>
          <w:lang w:val="en-GB"/>
        </w:rPr>
        <w:t>esponse</w:t>
      </w:r>
      <w:r w:rsidR="000A1C1A" w:rsidRPr="000A1C1A">
        <w:rPr>
          <w:rFonts w:ascii="Times New Roman" w:hAnsi="Times New Roman"/>
          <w:szCs w:val="24"/>
          <w:lang w:val="en-GB"/>
        </w:rPr>
        <w:t xml:space="preserve"> monitoring outputs, </w:t>
      </w:r>
      <w:r w:rsidR="00AF194A">
        <w:rPr>
          <w:rFonts w:ascii="Times New Roman" w:hAnsi="Times New Roman"/>
          <w:szCs w:val="24"/>
          <w:lang w:val="en-GB"/>
        </w:rPr>
        <w:t>Agreement on r</w:t>
      </w:r>
      <w:r w:rsidR="000A1C1A" w:rsidRPr="000A1C1A">
        <w:rPr>
          <w:rFonts w:ascii="Times New Roman" w:hAnsi="Times New Roman"/>
          <w:szCs w:val="24"/>
          <w:lang w:val="en-GB"/>
        </w:rPr>
        <w:t xml:space="preserve">eporting procedure, </w:t>
      </w:r>
      <w:r w:rsidR="00AF194A">
        <w:rPr>
          <w:rFonts w:ascii="Times New Roman" w:hAnsi="Times New Roman"/>
          <w:szCs w:val="24"/>
          <w:lang w:val="en-GB"/>
        </w:rPr>
        <w:t>Agreement on r</w:t>
      </w:r>
      <w:r w:rsidR="000A1C1A" w:rsidRPr="000A1C1A">
        <w:rPr>
          <w:rFonts w:ascii="Times New Roman" w:hAnsi="Times New Roman"/>
          <w:szCs w:val="24"/>
          <w:lang w:val="en-GB"/>
        </w:rPr>
        <w:t>eporting p</w:t>
      </w:r>
      <w:r w:rsidR="00C6100D" w:rsidRPr="000A1C1A">
        <w:rPr>
          <w:rFonts w:ascii="Times New Roman" w:hAnsi="Times New Roman"/>
          <w:szCs w:val="24"/>
          <w:lang w:val="en-GB"/>
        </w:rPr>
        <w:t>latforms, AOB</w:t>
      </w:r>
    </w:p>
    <w:tbl>
      <w:tblPr>
        <w:tblW w:w="514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467"/>
        <w:gridCol w:w="282"/>
      </w:tblGrid>
      <w:tr w:rsidR="00E71DBA" w:rsidRPr="000A1C1A" w:rsidTr="002237A8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823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:rsidTr="002237A8">
        <w:trPr>
          <w:gridAfter w:val="1"/>
          <w:wAfter w:w="282" w:type="dxa"/>
          <w:trHeight w:val="288"/>
        </w:trPr>
        <w:tc>
          <w:tcPr>
            <w:tcW w:w="10072" w:type="dxa"/>
            <w:gridSpan w:val="4"/>
            <w:shd w:val="clear" w:color="auto" w:fill="auto"/>
            <w:vAlign w:val="center"/>
          </w:tcPr>
          <w:p w:rsidR="005A4C69" w:rsidRPr="005A4C69" w:rsidRDefault="005A4C69" w:rsidP="005A4C6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Comments from Last Meeting Minutes</w:t>
            </w:r>
          </w:p>
          <w:p w:rsidR="0062649D" w:rsidRDefault="005A4C69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WFP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>asked if they could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add their partners to the Task Force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>, this was welcomed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5A4C69" w:rsidRDefault="005A4C69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There is need to </w:t>
            </w:r>
            <w:r w:rsidR="00463B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sector le</w:t>
            </w:r>
            <w:r w:rsidR="00463BD6">
              <w:rPr>
                <w:rFonts w:ascii="Times New Roman" w:hAnsi="Times New Roman"/>
                <w:sz w:val="24"/>
                <w:szCs w:val="24"/>
                <w:lang w:val="en-GB"/>
              </w:rPr>
              <w:t>ads capacity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63BD6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 the Task Force</w:t>
            </w:r>
            <w:r w:rsidR="00AF19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only Education has expressed interest so far but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other </w:t>
            </w:r>
            <w:r w:rsidR="00AF194A">
              <w:rPr>
                <w:rFonts w:ascii="Times New Roman" w:hAnsi="Times New Roman"/>
                <w:sz w:val="24"/>
                <w:szCs w:val="24"/>
                <w:lang w:val="en-GB"/>
              </w:rPr>
              <w:t>sector leads will be approached again.</w:t>
            </w:r>
          </w:p>
          <w:p w:rsidR="00AC45E5" w:rsidRDefault="00AC45E5" w:rsidP="00AC45E5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Default="004A49F1" w:rsidP="00CA32F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i</w:t>
            </w:r>
            <w:r w:rsidR="00C84219" w:rsidRPr="00C678E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ndicators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and standardising activities</w:t>
            </w:r>
          </w:p>
          <w:p w:rsidR="00CA32FC" w:rsidRPr="00CA32FC" w:rsidRDefault="00C678EE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There is </w:t>
            </w:r>
            <w:r w:rsidR="004A49F1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need to d</w:t>
            </w:r>
            <w:r w:rsidR="00C84219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efine the activities that feed into the RRP indicators</w:t>
            </w:r>
            <w:r w:rsidR="00AF194A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A49F1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(and how they are combined if there are multiple ones) </w:t>
            </w:r>
            <w:r w:rsidR="00AF194A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together with the sector leads</w:t>
            </w:r>
            <w:r w:rsidR="00C84219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AF194A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 example from Environment and Energy was shown which will be used to help other sectors do the same. The aim is to present this back to the inter-sector meeting at 20 November.</w:t>
            </w:r>
          </w:p>
          <w:p w:rsidR="00CA32FC" w:rsidRPr="00CA32FC" w:rsidRDefault="004A49F1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For each indicator</w:t>
            </w:r>
            <w:r w:rsidR="00C84219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AF194A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source of information, disaggregation (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by location</w:t>
            </w:r>
            <w:r w:rsidR="00AF194A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, population group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sex/age etc.), </w:t>
            </w:r>
            <w:proofErr w:type="gramStart"/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frequency</w:t>
            </w:r>
            <w:proofErr w:type="gramEnd"/>
            <w:r w:rsidR="00C84219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data collection,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unit of </w:t>
            </w:r>
            <w:r w:rsidR="00C84219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measurement </w:t>
            </w:r>
            <w:r w:rsidR="003C2FBE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calculation</w:t>
            </w:r>
            <w:r w:rsidR="00C84219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method will be defined</w:t>
            </w:r>
            <w:r w:rsidR="00C56D86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In addition, whether the indicator appears in the Regional RRP, UNHCR results framework and/or sectoral systems will be tracked in order to ensure comprehensive coverage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while </w:t>
            </w:r>
            <w:r w:rsidR="00C56D86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avoid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ing</w:t>
            </w:r>
            <w:r w:rsidR="00C56D86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duplication.</w:t>
            </w:r>
          </w:p>
          <w:p w:rsidR="00C84219" w:rsidRPr="00CA32FC" w:rsidRDefault="00C84219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indicators should be </w:t>
            </w:r>
            <w:r w:rsidR="00AC45E5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ranked in terms of priority </w:t>
            </w:r>
            <w:r w:rsidR="00F22808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of tracking</w:t>
            </w:r>
            <w:r w:rsidR="00AC45E5"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 as to identify the main indicators to track</w:t>
            </w:r>
            <w:r w:rsidR="004A49F1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, the focus will be on RRP indicators</w:t>
            </w:r>
            <w:r w:rsidR="00AC45E5" w:rsidRPr="00CA32F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4700C8" w:rsidRPr="000A1C1A" w:rsidRDefault="004700C8" w:rsidP="004700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A49F1" w:rsidRPr="004A49F1" w:rsidRDefault="004A49F1" w:rsidP="004A49F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Agreement on the outputs from the response monitoring</w:t>
            </w:r>
          </w:p>
          <w:p w:rsidR="004A49F1" w:rsidRDefault="004A49F1" w:rsidP="004A49F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was agreed that 3-page factsheets with analysis of key RRP indicators, operational presence maps and narrative around achievements and challenges would be produced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per sector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on a quarterly basis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national level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A49F1" w:rsidRPr="000A1C1A" w:rsidRDefault="004A49F1" w:rsidP="004A49F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REACH mentioned that from their experience with the gap analysis factsheets additional pages would be needed for multi-sectoral factsheets at settlement level</w:t>
            </w:r>
            <w:r w:rsid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order to be able to represent all relevant indicators per sector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A49F1" w:rsidRPr="004A49F1" w:rsidRDefault="004A49F1" w:rsidP="004A49F1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Pr="00CA32FC" w:rsidRDefault="00D84086" w:rsidP="00CA32F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Agreement on the standard procedure for reporting</w:t>
            </w:r>
          </w:p>
          <w:p w:rsidR="00CA32FC" w:rsidRDefault="00CA32FC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It was agreed that reporting should be done by partners at field level with validation at national level by the sector leads and IM Unit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A32FC" w:rsidRDefault="00CA32FC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However,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addition to this,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two-tier system was proposed whereby activity tracking forms the first level and verification or monitoring visits would form the second.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 j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oint monitoring team from the Task Force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would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then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carry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out regular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multi-sectoral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monitoring missions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together with the sector leads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(minimum once per year, maximum once per quarter). This would help to show accountability to the public and inform programming in the long run.</w:t>
            </w:r>
          </w:p>
          <w:p w:rsidR="00CA32FC" w:rsidRPr="00CA32FC" w:rsidRDefault="00CA32FC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was suggested that all activities (whether implemented by UNHCR part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>ners or operational partners) sh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ould be verified by the sector leads.</w:t>
            </w:r>
          </w:p>
          <w:p w:rsidR="00CA32FC" w:rsidRPr="00CA32FC" w:rsidRDefault="00CA32FC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ectors should carryout assessments to create baseline data which will help with selecting locations for the monitoring visits, this can be done through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existing exercises like </w:t>
            </w:r>
            <w:r w:rsidRPr="00CA32FC">
              <w:rPr>
                <w:rFonts w:ascii="Times New Roman" w:hAnsi="Times New Roman"/>
                <w:sz w:val="24"/>
                <w:szCs w:val="24"/>
                <w:lang w:val="en-GB"/>
              </w:rPr>
              <w:t>the MSNA.</w:t>
            </w:r>
          </w:p>
          <w:p w:rsidR="000B6505" w:rsidRDefault="00CA32FC" w:rsidP="000B650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revised timeline for reporting includes 1 week for resubmission of reports in case any inconsistencies were discovered during the validation.</w:t>
            </w:r>
            <w:r w:rsidR="000B65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timeline currently looks as follows, with the first reporting to start on Monday 1 April 2019 with products expected to be available by the end of April:</w:t>
            </w:r>
          </w:p>
          <w:p w:rsidR="000B6505" w:rsidRPr="000B6505" w:rsidRDefault="000B6505" w:rsidP="000B6505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B6505" w:rsidRDefault="000B6505" w:rsidP="000B6505">
            <w:pPr>
              <w:ind w:firstLine="1327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4507230" cy="3939540"/>
                  <wp:effectExtent l="0" t="0" r="762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02" b="12701"/>
                          <a:stretch/>
                        </pic:blipFill>
                        <pic:spPr bwMode="auto">
                          <a:xfrm>
                            <a:off x="0" y="0"/>
                            <a:ext cx="4507230" cy="393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6505" w:rsidRPr="000B6505" w:rsidRDefault="000B6505" w:rsidP="000B650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41165" w:rsidRDefault="00C56D86" w:rsidP="007005A7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Although it was previously agreed that the reporting should be quarterly, sector leads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seem to prefer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monthly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reporting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 the activity level indicators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>in order for them to be operationally relevant, however,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RRP level indicators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generated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quarterly from these monthly reports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or reported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>on separately</w:t>
            </w:r>
            <w:r w:rsidR="00F22808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7370" w:rsidRDefault="008C7370" w:rsidP="008C737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C7370" w:rsidRPr="008C7370" w:rsidRDefault="008C7370" w:rsidP="008C737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Default="000B6505" w:rsidP="007005A7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The m</w:t>
            </w:r>
            <w:r w:rsidR="00CA32FC">
              <w:rPr>
                <w:rFonts w:ascii="Times New Roman" w:hAnsi="Times New Roman"/>
                <w:sz w:val="24"/>
                <w:szCs w:val="24"/>
                <w:lang w:val="en-GB"/>
              </w:rPr>
              <w:t>inimum granularity of information needed is:</w:t>
            </w:r>
          </w:p>
          <w:p w:rsidR="00CA32FC" w:rsidRDefault="00CA32FC" w:rsidP="00CA32FC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Location: settlement level (or zone level for large settlements).</w:t>
            </w:r>
          </w:p>
          <w:p w:rsidR="00CA32FC" w:rsidRDefault="00CA32FC" w:rsidP="00CA32FC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Beneficiaries: nationality, sex/age and specific needs.</w:t>
            </w:r>
          </w:p>
          <w:p w:rsidR="000B6505" w:rsidRDefault="00CA32FC" w:rsidP="000B650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Products will be produced even if not all </w:t>
            </w:r>
            <w:r w:rsidR="00C56D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partners are reporting their activities, it was suggested to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leverage </w:t>
            </w:r>
            <w:r w:rsidR="00C56D86">
              <w:rPr>
                <w:rFonts w:ascii="Times New Roman" w:hAnsi="Times New Roman"/>
                <w:sz w:val="24"/>
                <w:szCs w:val="24"/>
                <w:lang w:val="en-GB"/>
              </w:rPr>
              <w:t>donor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C56D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government 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counterparts </w:t>
            </w:r>
            <w:r w:rsidR="00C56D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 persuade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those partners that are not reporting to </w:t>
            </w:r>
            <w:r w:rsidR="00C56D86">
              <w:rPr>
                <w:rFonts w:ascii="Times New Roman" w:hAnsi="Times New Roman"/>
                <w:sz w:val="24"/>
                <w:szCs w:val="24"/>
                <w:lang w:val="en-GB"/>
              </w:rPr>
              <w:t>do so.</w:t>
            </w:r>
          </w:p>
          <w:p w:rsidR="000B6505" w:rsidRDefault="000B6505" w:rsidP="000B6505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B6505" w:rsidRPr="000B6505" w:rsidRDefault="000B6505" w:rsidP="000B65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65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Agreement on the reporting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platforms</w:t>
            </w:r>
          </w:p>
          <w:p w:rsidR="00000000" w:rsidRPr="000B6505" w:rsidRDefault="008C7370" w:rsidP="000B650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UNICEF </w:t>
            </w:r>
            <w:proofErr w:type="spellStart"/>
            <w:r w:rsidR="00FD2253" w:rsidRPr="000B6505">
              <w:rPr>
                <w:rFonts w:ascii="Times New Roman" w:hAnsi="Times New Roman"/>
                <w:sz w:val="24"/>
                <w:szCs w:val="24"/>
              </w:rPr>
              <w:t>eTools</w:t>
            </w:r>
            <w:proofErr w:type="spellEnd"/>
            <w:r w:rsidR="00FD2253" w:rsidRPr="000B6505">
              <w:rPr>
                <w:rFonts w:ascii="Times New Roman" w:hAnsi="Times New Roman"/>
                <w:sz w:val="24"/>
                <w:szCs w:val="24"/>
              </w:rPr>
              <w:t xml:space="preserve"> is no longer being considered due to lack of hosting options dur</w:t>
            </w:r>
            <w:r w:rsidR="00FD2253" w:rsidRPr="000B6505">
              <w:rPr>
                <w:rFonts w:ascii="Times New Roman" w:hAnsi="Times New Roman"/>
                <w:sz w:val="24"/>
                <w:szCs w:val="24"/>
              </w:rPr>
              <w:t>ing the pilot phase</w:t>
            </w:r>
            <w:r w:rsidR="000B6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6505" w:rsidRPr="004B5FB7" w:rsidRDefault="000B6505" w:rsidP="000B650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D2253" w:rsidRPr="000B6505">
              <w:rPr>
                <w:rFonts w:ascii="Times New Roman" w:hAnsi="Times New Roman"/>
                <w:sz w:val="24"/>
                <w:szCs w:val="24"/>
              </w:rPr>
              <w:t>Refugee Response Planning and Monitoring (RRPM) platform from Ethiopia will be considered instead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5FB7" w:rsidRPr="000B6505" w:rsidRDefault="004B5FB7" w:rsidP="000B650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Only currently existing systems are being considered, no development will take place in-house.</w:t>
            </w:r>
          </w:p>
          <w:p w:rsidR="000B6505" w:rsidRPr="000B6505" w:rsidRDefault="000B6505" w:rsidP="000B650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terms of requirements, the following elements are considered:</w:t>
            </w:r>
          </w:p>
          <w:p w:rsidR="000B6505" w:rsidRDefault="00FD2253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6505">
              <w:rPr>
                <w:rFonts w:ascii="Times New Roman" w:hAnsi="Times New Roman"/>
                <w:sz w:val="24"/>
                <w:szCs w:val="24"/>
                <w:lang w:val="en-GB"/>
              </w:rPr>
              <w:t>Offlin</w:t>
            </w:r>
            <w:r w:rsidR="000B6505">
              <w:rPr>
                <w:rFonts w:ascii="Times New Roman" w:hAnsi="Times New Roman"/>
                <w:sz w:val="24"/>
                <w:szCs w:val="24"/>
                <w:lang w:val="en-GB"/>
              </w:rPr>
              <w:t>e / low bandwidth functionality</w:t>
            </w:r>
          </w:p>
          <w:p w:rsidR="00000000" w:rsidRPr="000B6505" w:rsidRDefault="000B6505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Bulk import functionality</w:t>
            </w:r>
          </w:p>
          <w:p w:rsidR="00000000" w:rsidRPr="000B6505" w:rsidRDefault="00FD2253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6505">
              <w:rPr>
                <w:rFonts w:ascii="Times New Roman" w:hAnsi="Times New Roman"/>
                <w:sz w:val="24"/>
                <w:szCs w:val="24"/>
                <w:lang w:val="en-GB"/>
              </w:rPr>
              <w:t>Advanced user management</w:t>
            </w:r>
          </w:p>
          <w:p w:rsidR="000B6505" w:rsidRDefault="00FD2253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65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Automated reminders for reporting </w:t>
            </w:r>
          </w:p>
          <w:p w:rsidR="000B6505" w:rsidRDefault="00FD2253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6505">
              <w:rPr>
                <w:rFonts w:ascii="Times New Roman" w:hAnsi="Times New Roman"/>
                <w:sz w:val="24"/>
                <w:szCs w:val="24"/>
                <w:lang w:val="en-GB"/>
              </w:rPr>
              <w:t>Embedding content from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platform on other websites</w:t>
            </w:r>
          </w:p>
          <w:p w:rsidR="000B6505" w:rsidRDefault="000B6505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Auto-populating</w:t>
            </w:r>
            <w:r w:rsidR="00FD2253" w:rsidRPr="000B65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items distributed based on pre-defined kit contents</w:t>
            </w:r>
          </w:p>
          <w:p w:rsidR="000B6505" w:rsidRDefault="008C7370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Data security (</w:t>
            </w:r>
            <w:r w:rsidR="00FD2253" w:rsidRPr="000B6505">
              <w:rPr>
                <w:rFonts w:ascii="Times New Roman" w:hAnsi="Times New Roman"/>
                <w:sz w:val="24"/>
                <w:szCs w:val="24"/>
                <w:lang w:val="en-GB"/>
              </w:rPr>
              <w:t>auto-logo</w:t>
            </w:r>
            <w:r w:rsidR="000B6505">
              <w:rPr>
                <w:rFonts w:ascii="Times New Roman" w:hAnsi="Times New Roman"/>
                <w:sz w:val="24"/>
                <w:szCs w:val="24"/>
                <w:lang w:val="en-GB"/>
              </w:rPr>
              <w:t>ut func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tionality, </w:t>
            </w:r>
            <w:r w:rsidR="000B6505">
              <w:rPr>
                <w:rFonts w:ascii="Times New Roman" w:hAnsi="Times New Roman"/>
                <w:sz w:val="24"/>
                <w:szCs w:val="24"/>
                <w:lang w:val="en-GB"/>
              </w:rPr>
              <w:t>anonymous browsing of data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etc.)</w:t>
            </w:r>
          </w:p>
          <w:p w:rsidR="000B6505" w:rsidRDefault="000B6505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FD2253" w:rsidRPr="000B65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ggregation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filtering </w:t>
            </w:r>
            <w:r w:rsidR="00FD2253" w:rsidRPr="000B65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data at various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levels 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>(user generated reports)</w:t>
            </w:r>
          </w:p>
          <w:p w:rsidR="000B6505" w:rsidRDefault="000B6505" w:rsidP="000B6505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Compatibility with different browsers</w:t>
            </w:r>
          </w:p>
          <w:p w:rsidR="004B5FB7" w:rsidRPr="004B5FB7" w:rsidRDefault="000B6505" w:rsidP="004B5FB7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Ability to handle multiple logins at the same time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(if this forms a bottleneck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was suggested that 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partners could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also 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 to sector leads and sector leads could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then 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upload the data to the platform,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however, 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this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is 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</w:t>
            </w:r>
            <w:r w:rsidR="008C7370">
              <w:rPr>
                <w:rFonts w:ascii="Times New Roman" w:hAnsi="Times New Roman"/>
                <w:sz w:val="24"/>
                <w:szCs w:val="24"/>
                <w:lang w:val="en-GB"/>
              </w:rPr>
              <w:t>the preferred workflow</w:t>
            </w:r>
            <w:r w:rsidR="004B5FB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bookmarkStart w:id="4" w:name="_GoBack"/>
            <w:bookmarkEnd w:id="4"/>
          </w:p>
          <w:p w:rsidR="00F22808" w:rsidRDefault="00F22808" w:rsidP="00F22808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005A7" w:rsidRDefault="004B1856" w:rsidP="007005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Next meeting will be on 15</w:t>
            </w:r>
            <w:r w:rsidRPr="004B1856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Nov (3 – 4pm)</w:t>
            </w:r>
          </w:p>
          <w:p w:rsidR="00F22808" w:rsidRPr="007005A7" w:rsidRDefault="00F22808" w:rsidP="00F22808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71DBA" w:rsidRPr="000A1C1A" w:rsidTr="002237A8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ActionItems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PersonResponsibl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Person responsible</w:t>
            </w:r>
          </w:p>
        </w:tc>
        <w:tc>
          <w:tcPr>
            <w:tcW w:w="146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7" w:name="MinuteDeadline"/>
            <w:bookmarkEnd w:id="7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85168B" w:rsidRPr="000A1C1A" w:rsidTr="004700C8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:rsidR="00827C84" w:rsidRDefault="002237A8" w:rsidP="00575AA4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B1856">
              <w:rPr>
                <w:rFonts w:ascii="Times New Roman" w:hAnsi="Times New Roman"/>
                <w:sz w:val="24"/>
                <w:szCs w:val="24"/>
                <w:lang w:val="en-GB"/>
              </w:rPr>
              <w:t>Reach out to colleagues in</w:t>
            </w:r>
            <w:r w:rsidR="004B1856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UBOS, NPA and UNDP</w:t>
            </w:r>
          </w:p>
          <w:p w:rsidR="00581726" w:rsidRPr="002237A8" w:rsidRDefault="00581726" w:rsidP="00575AA4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Discuss REACH support to the Task Force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F0434" w:rsidRP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BO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F0434" w:rsidRPr="002237A8" w:rsidRDefault="00581726" w:rsidP="00581726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Immediate</w:t>
            </w:r>
          </w:p>
        </w:tc>
      </w:tr>
      <w:bookmarkEnd w:id="3"/>
    </w:tbl>
    <w:p w:rsidR="008615EB" w:rsidRPr="000A1C1A" w:rsidRDefault="008615EB" w:rsidP="00E546F4">
      <w:pPr>
        <w:ind w:left="0"/>
        <w:rPr>
          <w:rFonts w:ascii="Maiandra GD" w:hAnsi="Maiandra GD"/>
          <w:lang w:val="en-GB"/>
        </w:rPr>
      </w:pPr>
    </w:p>
    <w:sectPr w:rsidR="008615EB" w:rsidRPr="000A1C1A" w:rsidSect="00D8181B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53" w:rsidRDefault="00FD2253" w:rsidP="00464C4B">
      <w:r>
        <w:separator/>
      </w:r>
    </w:p>
  </w:endnote>
  <w:endnote w:type="continuationSeparator" w:id="0">
    <w:p w:rsidR="00FD2253" w:rsidRDefault="00FD2253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3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3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53" w:rsidRDefault="00FD2253" w:rsidP="00464C4B">
      <w:r>
        <w:separator/>
      </w:r>
    </w:p>
  </w:footnote>
  <w:footnote w:type="continuationSeparator" w:id="0">
    <w:p w:rsidR="00FD2253" w:rsidRDefault="00FD2253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FD22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FD22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FD22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1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20"/>
  </w:num>
  <w:num w:numId="14">
    <w:abstractNumId w:val="24"/>
  </w:num>
  <w:num w:numId="15">
    <w:abstractNumId w:val="14"/>
  </w:num>
  <w:num w:numId="16">
    <w:abstractNumId w:val="10"/>
  </w:num>
  <w:num w:numId="17">
    <w:abstractNumId w:val="18"/>
  </w:num>
  <w:num w:numId="18">
    <w:abstractNumId w:val="22"/>
  </w:num>
  <w:num w:numId="19">
    <w:abstractNumId w:val="34"/>
  </w:num>
  <w:num w:numId="20">
    <w:abstractNumId w:val="17"/>
  </w:num>
  <w:num w:numId="21">
    <w:abstractNumId w:val="27"/>
  </w:num>
  <w:num w:numId="22">
    <w:abstractNumId w:val="13"/>
  </w:num>
  <w:num w:numId="23">
    <w:abstractNumId w:val="12"/>
  </w:num>
  <w:num w:numId="24">
    <w:abstractNumId w:val="32"/>
  </w:num>
  <w:num w:numId="25">
    <w:abstractNumId w:val="21"/>
  </w:num>
  <w:num w:numId="26">
    <w:abstractNumId w:val="35"/>
  </w:num>
  <w:num w:numId="27">
    <w:abstractNumId w:val="28"/>
  </w:num>
  <w:num w:numId="28">
    <w:abstractNumId w:val="30"/>
  </w:num>
  <w:num w:numId="29">
    <w:abstractNumId w:val="30"/>
  </w:num>
  <w:num w:numId="30">
    <w:abstractNumId w:val="23"/>
  </w:num>
  <w:num w:numId="31">
    <w:abstractNumId w:val="19"/>
  </w:num>
  <w:num w:numId="32">
    <w:abstractNumId w:val="26"/>
  </w:num>
  <w:num w:numId="33">
    <w:abstractNumId w:val="29"/>
  </w:num>
  <w:num w:numId="34">
    <w:abstractNumId w:val="31"/>
  </w:num>
  <w:num w:numId="35">
    <w:abstractNumId w:val="15"/>
  </w:num>
  <w:num w:numId="36">
    <w:abstractNumId w:val="2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45A5"/>
    <w:rsid w:val="000312F9"/>
    <w:rsid w:val="00043514"/>
    <w:rsid w:val="000467DE"/>
    <w:rsid w:val="000A1C1A"/>
    <w:rsid w:val="000B6505"/>
    <w:rsid w:val="000B6A65"/>
    <w:rsid w:val="000D0FE8"/>
    <w:rsid w:val="000D1C32"/>
    <w:rsid w:val="000D7435"/>
    <w:rsid w:val="0011140C"/>
    <w:rsid w:val="00132681"/>
    <w:rsid w:val="00133E47"/>
    <w:rsid w:val="00145127"/>
    <w:rsid w:val="00195948"/>
    <w:rsid w:val="00197A5B"/>
    <w:rsid w:val="001A66ED"/>
    <w:rsid w:val="001F32FA"/>
    <w:rsid w:val="002138F0"/>
    <w:rsid w:val="002237A8"/>
    <w:rsid w:val="00264B18"/>
    <w:rsid w:val="0028036E"/>
    <w:rsid w:val="002B211F"/>
    <w:rsid w:val="002B63B6"/>
    <w:rsid w:val="00336204"/>
    <w:rsid w:val="00341165"/>
    <w:rsid w:val="00344FA0"/>
    <w:rsid w:val="00350B55"/>
    <w:rsid w:val="00364A91"/>
    <w:rsid w:val="00366B5F"/>
    <w:rsid w:val="00367EE6"/>
    <w:rsid w:val="00397307"/>
    <w:rsid w:val="003B0D5A"/>
    <w:rsid w:val="003B6885"/>
    <w:rsid w:val="003C2FBE"/>
    <w:rsid w:val="003D4D5F"/>
    <w:rsid w:val="00417272"/>
    <w:rsid w:val="004224E8"/>
    <w:rsid w:val="00423E89"/>
    <w:rsid w:val="00455ACF"/>
    <w:rsid w:val="00456620"/>
    <w:rsid w:val="00463BD6"/>
    <w:rsid w:val="00464C4B"/>
    <w:rsid w:val="004700C8"/>
    <w:rsid w:val="00473156"/>
    <w:rsid w:val="00490264"/>
    <w:rsid w:val="00495E0E"/>
    <w:rsid w:val="004A49F1"/>
    <w:rsid w:val="004B1856"/>
    <w:rsid w:val="004B5FB7"/>
    <w:rsid w:val="004B6E9C"/>
    <w:rsid w:val="005052C5"/>
    <w:rsid w:val="0052620C"/>
    <w:rsid w:val="005262FE"/>
    <w:rsid w:val="00531002"/>
    <w:rsid w:val="00536DFE"/>
    <w:rsid w:val="00575AA4"/>
    <w:rsid w:val="0058054A"/>
    <w:rsid w:val="00581726"/>
    <w:rsid w:val="00591A19"/>
    <w:rsid w:val="00594E3C"/>
    <w:rsid w:val="005A3F89"/>
    <w:rsid w:val="005A4C69"/>
    <w:rsid w:val="005B4842"/>
    <w:rsid w:val="005D1C27"/>
    <w:rsid w:val="005E14C5"/>
    <w:rsid w:val="005F58B2"/>
    <w:rsid w:val="005F7E01"/>
    <w:rsid w:val="00624AB3"/>
    <w:rsid w:val="0062649D"/>
    <w:rsid w:val="00692553"/>
    <w:rsid w:val="00694CFC"/>
    <w:rsid w:val="006B5EEA"/>
    <w:rsid w:val="006D7E35"/>
    <w:rsid w:val="006D7F55"/>
    <w:rsid w:val="007005A7"/>
    <w:rsid w:val="00742CA0"/>
    <w:rsid w:val="007554A1"/>
    <w:rsid w:val="007C0A8F"/>
    <w:rsid w:val="007C174F"/>
    <w:rsid w:val="007E2D6A"/>
    <w:rsid w:val="00827C84"/>
    <w:rsid w:val="00831176"/>
    <w:rsid w:val="0085167A"/>
    <w:rsid w:val="0085168B"/>
    <w:rsid w:val="008615EB"/>
    <w:rsid w:val="00871535"/>
    <w:rsid w:val="008B2336"/>
    <w:rsid w:val="008C7370"/>
    <w:rsid w:val="008F49C0"/>
    <w:rsid w:val="00903EDB"/>
    <w:rsid w:val="00954110"/>
    <w:rsid w:val="00962B7B"/>
    <w:rsid w:val="00963EEE"/>
    <w:rsid w:val="00972122"/>
    <w:rsid w:val="00987202"/>
    <w:rsid w:val="009979A8"/>
    <w:rsid w:val="009C6D46"/>
    <w:rsid w:val="009D5830"/>
    <w:rsid w:val="009F3BC3"/>
    <w:rsid w:val="00A25464"/>
    <w:rsid w:val="00A377DD"/>
    <w:rsid w:val="00A538CD"/>
    <w:rsid w:val="00A655AC"/>
    <w:rsid w:val="00A6715C"/>
    <w:rsid w:val="00A73FE8"/>
    <w:rsid w:val="00A75813"/>
    <w:rsid w:val="00AA08D1"/>
    <w:rsid w:val="00AC45E5"/>
    <w:rsid w:val="00AE3851"/>
    <w:rsid w:val="00AF194A"/>
    <w:rsid w:val="00B33783"/>
    <w:rsid w:val="00B415DD"/>
    <w:rsid w:val="00B714DF"/>
    <w:rsid w:val="00B84015"/>
    <w:rsid w:val="00B92F10"/>
    <w:rsid w:val="00BB24CC"/>
    <w:rsid w:val="00BB5323"/>
    <w:rsid w:val="00BD05B7"/>
    <w:rsid w:val="00BE4FFD"/>
    <w:rsid w:val="00BF0434"/>
    <w:rsid w:val="00BF65DF"/>
    <w:rsid w:val="00C166AB"/>
    <w:rsid w:val="00C23F64"/>
    <w:rsid w:val="00C35CFF"/>
    <w:rsid w:val="00C56D86"/>
    <w:rsid w:val="00C6100D"/>
    <w:rsid w:val="00C6365F"/>
    <w:rsid w:val="00C678EE"/>
    <w:rsid w:val="00C8325B"/>
    <w:rsid w:val="00C84219"/>
    <w:rsid w:val="00CA32FC"/>
    <w:rsid w:val="00CB3760"/>
    <w:rsid w:val="00CB5EF6"/>
    <w:rsid w:val="00CB6FF6"/>
    <w:rsid w:val="00CD2913"/>
    <w:rsid w:val="00CE18DB"/>
    <w:rsid w:val="00CE4B82"/>
    <w:rsid w:val="00CE6342"/>
    <w:rsid w:val="00CF0132"/>
    <w:rsid w:val="00D01F39"/>
    <w:rsid w:val="00D306E8"/>
    <w:rsid w:val="00D621F4"/>
    <w:rsid w:val="00D8181B"/>
    <w:rsid w:val="00D84086"/>
    <w:rsid w:val="00D92313"/>
    <w:rsid w:val="00DA41DA"/>
    <w:rsid w:val="00DD2F1C"/>
    <w:rsid w:val="00E27B30"/>
    <w:rsid w:val="00E43BAB"/>
    <w:rsid w:val="00E4591C"/>
    <w:rsid w:val="00E46D52"/>
    <w:rsid w:val="00E546F4"/>
    <w:rsid w:val="00E60E43"/>
    <w:rsid w:val="00E71DBA"/>
    <w:rsid w:val="00EA2581"/>
    <w:rsid w:val="00EA7080"/>
    <w:rsid w:val="00EB4655"/>
    <w:rsid w:val="00ED3E4E"/>
    <w:rsid w:val="00EF3B1A"/>
    <w:rsid w:val="00F22808"/>
    <w:rsid w:val="00F63C83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875D5C-CEDE-4353-8236-51C30F6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7D3A5B"/>
    <w:rsid w:val="007E4778"/>
    <w:rsid w:val="008332DB"/>
    <w:rsid w:val="008742C9"/>
    <w:rsid w:val="00971FA8"/>
    <w:rsid w:val="009B7F91"/>
    <w:rsid w:val="00A50911"/>
    <w:rsid w:val="00B36FC4"/>
    <w:rsid w:val="00BB7046"/>
    <w:rsid w:val="00CB3981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72A17-B59B-4DCF-B4F0-C382B437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293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Hillary Mumbere</dc:creator>
  <cp:keywords/>
  <cp:lastModifiedBy>Bo Hurkmans</cp:lastModifiedBy>
  <cp:revision>7</cp:revision>
  <cp:lastPrinted>2004-01-21T19:22:00Z</cp:lastPrinted>
  <dcterms:created xsi:type="dcterms:W3CDTF">2018-11-12T13:02:00Z</dcterms:created>
  <dcterms:modified xsi:type="dcterms:W3CDTF">2018-11-12T17:54:00Z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