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10" w:rsidRPr="000A1C1A" w:rsidRDefault="000A1C1A" w:rsidP="00954110">
      <w:pPr>
        <w:pStyle w:val="Title"/>
        <w:rPr>
          <w:rFonts w:ascii="Maiandra GD" w:hAnsi="Maiandra GD"/>
          <w:lang w:val="en-GB"/>
        </w:rPr>
      </w:pPr>
      <w:r w:rsidRPr="000A1C1A">
        <w:rPr>
          <w:rFonts w:ascii="Maiandra GD" w:hAnsi="Maiandra GD"/>
          <w:lang w:val="en-GB"/>
        </w:rPr>
        <w:t>RESPONSE MONITORING</w:t>
      </w:r>
      <w:r w:rsidR="009979A8" w:rsidRPr="000A1C1A">
        <w:rPr>
          <w:rFonts w:ascii="Maiandra GD" w:hAnsi="Maiandra GD"/>
          <w:lang w:val="en-GB"/>
        </w:rPr>
        <w:t xml:space="preserve"> TASK FORCE</w:t>
      </w:r>
      <w:r w:rsidR="00C9395B">
        <w:rPr>
          <w:rFonts w:ascii="Maiandra GD" w:hAnsi="Maiandra GD"/>
          <w:lang w:val="en-GB"/>
        </w:rPr>
        <w:t xml:space="preserve"> – MEETING 3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8-11-1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0A1C1A" w:rsidRDefault="00AC5120" w:rsidP="009979A8">
                <w:pPr>
                  <w:pStyle w:val="Details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November 15, 2018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5A4C69" w:rsidP="009979A8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15:00-16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0A1C1A" w:rsidRDefault="001000CB" w:rsidP="001000CB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CONFERENCE ROOM</w:t>
            </w:r>
          </w:p>
        </w:tc>
      </w:tr>
    </w:tbl>
    <w:p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0A1C1A" w:rsidRDefault="009979A8" w:rsidP="00B92F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IM</w:t>
            </w:r>
            <w:r w:rsidR="00962B7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TEAM LEADER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0A1C1A" w:rsidP="00B92F10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655AC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COORDINATION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5168B" w:rsidRPr="000A1C1A" w:rsidRDefault="00AF194A" w:rsidP="00AF19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HILLARY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MUMBERE</w:t>
            </w:r>
          </w:p>
        </w:tc>
      </w:tr>
      <w:tr w:rsidR="0085168B" w:rsidRPr="000A1C1A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F63C83" w:rsidRPr="000A1C1A" w:rsidRDefault="00F63C83" w:rsidP="00CA195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BO HURKMANS (UNHCR),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CHARLES MATOVU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(UNHCR), HI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LARY MUMBERE (UNHCR), </w:t>
            </w:r>
            <w:r w:rsidR="0016203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DUNCAN KATIMBO (UNHCR),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DENNIS TUMUSIIME (WFP)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16203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ZHU YING (IOM), </w:t>
            </w:r>
            <w:r w:rsidR="001000CB">
              <w:rPr>
                <w:rFonts w:ascii="Times New Roman" w:hAnsi="Times New Roman"/>
                <w:sz w:val="24"/>
                <w:szCs w:val="24"/>
                <w:lang w:val="en-GB"/>
              </w:rPr>
              <w:t>RECALT FABRICE (IOM</w:t>
            </w:r>
            <w:r w:rsidR="00162037">
              <w:rPr>
                <w:rFonts w:ascii="Times New Roman" w:hAnsi="Times New Roman"/>
                <w:sz w:val="24"/>
                <w:szCs w:val="24"/>
                <w:lang w:val="en-GB"/>
              </w:rPr>
              <w:t>), JOHN PAUL MUZEI (REACH)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16203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BRENT WESTERGREN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(SAMARITAN’S PURSE)</w:t>
            </w:r>
            <w:r w:rsidR="00162037">
              <w:rPr>
                <w:rFonts w:ascii="Times New Roman" w:hAnsi="Times New Roman"/>
                <w:sz w:val="24"/>
                <w:szCs w:val="24"/>
                <w:lang w:val="en-GB"/>
              </w:rPr>
              <w:t>, LUCY STRICKLAND (UNHCR)</w:t>
            </w:r>
            <w:r w:rsidR="001000CB">
              <w:rPr>
                <w:rFonts w:ascii="Times New Roman" w:hAnsi="Times New Roman"/>
                <w:sz w:val="24"/>
                <w:szCs w:val="24"/>
                <w:lang w:val="en-GB"/>
              </w:rPr>
              <w:t>, AGNETE RISHO</w:t>
            </w:r>
            <w:r w:rsidR="00860A5D">
              <w:rPr>
                <w:rFonts w:ascii="Times New Roman" w:hAnsi="Times New Roman"/>
                <w:sz w:val="24"/>
                <w:szCs w:val="24"/>
                <w:lang w:val="en-GB"/>
              </w:rPr>
              <w:t>J (FCA)</w:t>
            </w:r>
          </w:p>
        </w:tc>
      </w:tr>
    </w:tbl>
    <w:p w:rsidR="0062649D" w:rsidRPr="000A1C1A" w:rsidRDefault="0062649D" w:rsidP="00674813">
      <w:pPr>
        <w:pStyle w:val="Heading2"/>
        <w:spacing w:before="120"/>
        <w:ind w:left="2160" w:hanging="2160"/>
        <w:rPr>
          <w:rFonts w:ascii="Times New Roman" w:hAnsi="Times New Roman"/>
          <w:szCs w:val="24"/>
          <w:lang w:val="en-GB"/>
        </w:rPr>
      </w:pPr>
      <w:r w:rsidRPr="000A1C1A">
        <w:rPr>
          <w:rFonts w:ascii="Times New Roman" w:hAnsi="Times New Roman"/>
          <w:szCs w:val="24"/>
          <w:lang w:val="en-GB"/>
        </w:rPr>
        <w:t xml:space="preserve">Agenda topics, </w:t>
      </w:r>
      <w:r w:rsidR="0052620C" w:rsidRPr="000A1C1A">
        <w:rPr>
          <w:rFonts w:ascii="Times New Roman" w:hAnsi="Times New Roman"/>
          <w:szCs w:val="24"/>
          <w:lang w:val="en-GB"/>
        </w:rPr>
        <w:tab/>
      </w:r>
      <w:r w:rsidR="00674813" w:rsidRPr="00674813">
        <w:rPr>
          <w:rFonts w:ascii="Times New Roman" w:hAnsi="Times New Roman"/>
          <w:szCs w:val="24"/>
          <w:lang w:val="en-GB"/>
        </w:rPr>
        <w:t>Introduction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Review of action points from last meeting / task force work</w:t>
      </w:r>
      <w:r w:rsidR="000A3E9F">
        <w:rPr>
          <w:rFonts w:ascii="Times New Roman" w:hAnsi="Times New Roman"/>
          <w:szCs w:val="24"/>
          <w:lang w:val="en-GB"/>
        </w:rPr>
        <w:t xml:space="preserve"> </w:t>
      </w:r>
      <w:r w:rsidR="00674813" w:rsidRPr="00674813">
        <w:rPr>
          <w:rFonts w:ascii="Times New Roman" w:hAnsi="Times New Roman"/>
          <w:szCs w:val="24"/>
          <w:lang w:val="en-GB"/>
        </w:rPr>
        <w:t>plan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Review of progress on indicators and standardising activities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Agreement on outputs from the response monitoring</w:t>
      </w:r>
      <w:r w:rsidR="00674813">
        <w:rPr>
          <w:rFonts w:ascii="Times New Roman" w:hAnsi="Times New Roman"/>
          <w:szCs w:val="24"/>
          <w:lang w:val="en-GB"/>
        </w:rPr>
        <w:t>,</w:t>
      </w:r>
      <w:r w:rsidR="00674813" w:rsidRPr="00674813">
        <w:rPr>
          <w:rFonts w:ascii="Times New Roman" w:hAnsi="Times New Roman"/>
          <w:szCs w:val="24"/>
          <w:lang w:val="en-GB"/>
        </w:rPr>
        <w:t xml:space="preserve"> Agreement on standard procedure for reporting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Agreement on reporting platform</w:t>
      </w:r>
      <w:r w:rsidR="00674813">
        <w:rPr>
          <w:rFonts w:ascii="Times New Roman" w:hAnsi="Times New Roman"/>
          <w:szCs w:val="24"/>
          <w:lang w:val="en-GB"/>
        </w:rPr>
        <w:t xml:space="preserve">, </w:t>
      </w:r>
      <w:r w:rsidR="00674813" w:rsidRPr="00674813">
        <w:rPr>
          <w:rFonts w:ascii="Times New Roman" w:hAnsi="Times New Roman"/>
          <w:szCs w:val="24"/>
          <w:lang w:val="en-GB"/>
        </w:rPr>
        <w:t>AOB</w:t>
      </w:r>
    </w:p>
    <w:tbl>
      <w:tblPr>
        <w:tblW w:w="514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467"/>
        <w:gridCol w:w="282"/>
      </w:tblGrid>
      <w:tr w:rsidR="00E71DBA" w:rsidRPr="000A1C1A" w:rsidTr="00BD7D54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Items"/>
            <w:bookmarkStart w:id="1" w:name="MinuteTopic"/>
            <w:bookmarkStart w:id="2" w:name="MinuteDiscussion"/>
            <w:bookmarkStart w:id="3" w:name="MinuteTopicSection"/>
            <w:bookmarkEnd w:id="0"/>
            <w:bookmarkEnd w:id="1"/>
            <w:bookmarkEnd w:id="2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8230" w:type="dxa"/>
            <w:gridSpan w:val="4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:rsidTr="00BD7D54">
        <w:trPr>
          <w:gridAfter w:val="1"/>
          <w:wAfter w:w="282" w:type="dxa"/>
          <w:trHeight w:val="288"/>
        </w:trPr>
        <w:tc>
          <w:tcPr>
            <w:tcW w:w="10072" w:type="dxa"/>
            <w:gridSpan w:val="4"/>
            <w:shd w:val="clear" w:color="auto" w:fill="auto"/>
            <w:vAlign w:val="center"/>
          </w:tcPr>
          <w:p w:rsidR="00AC45E5" w:rsidRDefault="00AC45E5" w:rsidP="00AC45E5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E37E9" w:rsidRDefault="000E37E9" w:rsidP="000E37E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E37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Review of action points from last meeting / task force work</w:t>
            </w:r>
            <w:r w:rsidR="000A3E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0E37E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plan</w:t>
            </w:r>
          </w:p>
          <w:p w:rsidR="000E37E9" w:rsidRDefault="000E37E9" w:rsidP="000E37E9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E37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Additions of new members to 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0E37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task force 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will be</w:t>
            </w:r>
            <w:r w:rsidRPr="000E37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easiest </w:t>
            </w:r>
            <w:r w:rsidRPr="000E37E9">
              <w:rPr>
                <w:rFonts w:ascii="Times New Roman" w:hAnsi="Times New Roman"/>
                <w:sz w:val="24"/>
                <w:szCs w:val="24"/>
                <w:lang w:val="en-GB"/>
              </w:rPr>
              <w:t>during the training phase.</w:t>
            </w:r>
          </w:p>
          <w:p w:rsidR="000E37E9" w:rsidRDefault="000E37E9" w:rsidP="000E37E9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UNHCR Senior Technical Coordinator will be invited for the next meeting to represent the sector leads.</w:t>
            </w:r>
          </w:p>
          <w:p w:rsidR="000E37E9" w:rsidRDefault="000E37E9" w:rsidP="000E37E9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action point for reviewing RRP indicators and standardising activities has been extended with one week.</w:t>
            </w:r>
          </w:p>
          <w:p w:rsidR="000E37E9" w:rsidRPr="000E37E9" w:rsidRDefault="000E37E9" w:rsidP="000E37E9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Default="004A49F1" w:rsidP="00CA32F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Review of i</w:t>
            </w:r>
            <w:r w:rsidR="00C84219" w:rsidRPr="00C678E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ndicators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and standardising activities</w:t>
            </w:r>
          </w:p>
          <w:p w:rsidR="00C84219" w:rsidRPr="000E37E9" w:rsidRDefault="00AC5120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Meeting</w:t>
            </w:r>
            <w:r w:rsidR="000E37E9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have been held so far with Shelter</w:t>
            </w:r>
            <w:r w:rsidR="00AF26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0E37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Settlement and </w:t>
            </w:r>
            <w:r w:rsidR="00AF2686">
              <w:rPr>
                <w:rFonts w:ascii="Times New Roman" w:hAnsi="Times New Roman"/>
                <w:sz w:val="24"/>
                <w:szCs w:val="24"/>
                <w:lang w:val="en-GB"/>
              </w:rPr>
              <w:t>NFI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DD33ED">
              <w:rPr>
                <w:rFonts w:ascii="Times New Roman" w:hAnsi="Times New Roman"/>
                <w:sz w:val="24"/>
                <w:szCs w:val="24"/>
                <w:lang w:val="en-GB"/>
              </w:rPr>
              <w:t>Environment</w:t>
            </w:r>
            <w:r w:rsidR="00AF26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Energy</w:t>
            </w:r>
            <w:r w:rsidR="000E37E9">
              <w:rPr>
                <w:rFonts w:ascii="Times New Roman" w:hAnsi="Times New Roman"/>
                <w:sz w:val="24"/>
                <w:szCs w:val="24"/>
                <w:lang w:val="en-GB"/>
              </w:rPr>
              <w:t>, Livelihoods, Education and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Protection</w:t>
            </w:r>
            <w:r w:rsidR="001000C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0E37E9" w:rsidRPr="00CA32FC" w:rsidRDefault="000E37E9" w:rsidP="00CA32FC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Meetings are still outstanding for Food Assistance, Health and WASH.</w:t>
            </w:r>
          </w:p>
          <w:p w:rsidR="004700C8" w:rsidRPr="000A1C1A" w:rsidRDefault="004700C8" w:rsidP="004700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A49F1" w:rsidRPr="004A49F1" w:rsidRDefault="004A49F1" w:rsidP="004A49F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Agreement on the outputs from the response monitoring</w:t>
            </w:r>
          </w:p>
          <w:p w:rsidR="004A49F1" w:rsidRDefault="00970977" w:rsidP="004A49F1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REACH to support with the drafting templates for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q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uarterly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ational level sector factsheets and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q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uarterly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ettlement level multi-sector factsheets</w:t>
            </w:r>
            <w:r w:rsidR="004A49F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970977" w:rsidRPr="00DD33ED" w:rsidRDefault="00970977" w:rsidP="00DD33E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was preferred to create static</w:t>
            </w:r>
            <w:r w:rsidR="00DD33E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dashboards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Adobe InDesign first, followed by interactive 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versions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once the products have been established</w:t>
            </w:r>
            <w:r w:rsidR="00DD33ED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4A49F1" w:rsidRPr="004A49F1" w:rsidRDefault="004A49F1" w:rsidP="004A49F1">
            <w:pPr>
              <w:pStyle w:val="ListParagrap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A32FC" w:rsidRPr="00CA32FC" w:rsidRDefault="00D84086" w:rsidP="00CA32F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Agreement on the standard procedure for reporting</w:t>
            </w:r>
          </w:p>
          <w:p w:rsidR="00CC4EE8" w:rsidRDefault="007A5FFD" w:rsidP="00CC4E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There is 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need to compress the timeline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reporting and to differentiate between RRP reporting and activity reporting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, a revised procedure will be developed</w:t>
            </w:r>
            <w:r w:rsidR="000A3E9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C4EE8" w:rsidRPr="00CC4EE8" w:rsidRDefault="00CC4EE8" w:rsidP="00CC4EE8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Sectors are free to monitor more activities in their 5W than those that feed into RRP indicators, as 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the product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should be operationally relevant</w:t>
            </w:r>
            <w:r w:rsidR="00281AB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9087C" w:rsidRDefault="0059087C" w:rsidP="0059087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tbl>
            <w:tblPr>
              <w:tblW w:w="990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200"/>
              <w:gridCol w:w="3200"/>
              <w:gridCol w:w="3508"/>
            </w:tblGrid>
            <w:tr w:rsidR="0059087C" w:rsidRPr="0059087C" w:rsidTr="00BD7D54">
              <w:trPr>
                <w:trHeight w:val="18"/>
              </w:trPr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350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RRP indicators</w:t>
                  </w:r>
                </w:p>
              </w:tc>
            </w:tr>
            <w:tr w:rsidR="0059087C" w:rsidRPr="0059087C" w:rsidTr="00BD7D54">
              <w:trPr>
                <w:trHeight w:val="120"/>
              </w:trPr>
              <w:tc>
                <w:tcPr>
                  <w:tcW w:w="32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Frequency</w:t>
                  </w:r>
                </w:p>
              </w:tc>
              <w:tc>
                <w:tcPr>
                  <w:tcW w:w="32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Monthly</w:t>
                  </w:r>
                  <w:r w:rsidR="00CC4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Quarterly</w:t>
                  </w:r>
                </w:p>
              </w:tc>
              <w:tc>
                <w:tcPr>
                  <w:tcW w:w="350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Quarterly</w:t>
                  </w:r>
                  <w:r w:rsidR="00BD7D54">
                    <w:rPr>
                      <w:rFonts w:ascii="Times New Roman" w:hAnsi="Times New Roman"/>
                      <w:sz w:val="24"/>
                      <w:szCs w:val="24"/>
                    </w:rPr>
                    <w:t xml:space="preserve"> / Annually</w:t>
                  </w:r>
                </w:p>
              </w:tc>
            </w:tr>
            <w:tr w:rsidR="0059087C" w:rsidRPr="0059087C" w:rsidTr="00BD7D54">
              <w:trPr>
                <w:trHeight w:val="18"/>
              </w:trPr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Timeframe</w:t>
                  </w:r>
                </w:p>
              </w:tc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1 week</w:t>
                  </w:r>
                </w:p>
              </w:tc>
              <w:tc>
                <w:tcPr>
                  <w:tcW w:w="35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2 weeks</w:t>
                  </w:r>
                </w:p>
              </w:tc>
            </w:tr>
            <w:tr w:rsidR="0059087C" w:rsidRPr="0059087C" w:rsidTr="00BD7D54">
              <w:trPr>
                <w:trHeight w:val="18"/>
              </w:trPr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Who reports</w:t>
                  </w:r>
                </w:p>
              </w:tc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Partners</w:t>
                  </w:r>
                </w:p>
              </w:tc>
              <w:tc>
                <w:tcPr>
                  <w:tcW w:w="35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Sector leads</w:t>
                  </w:r>
                </w:p>
              </w:tc>
            </w:tr>
            <w:tr w:rsidR="0059087C" w:rsidRPr="0059087C" w:rsidTr="00BD7D54">
              <w:trPr>
                <w:trHeight w:val="18"/>
              </w:trPr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At what level</w:t>
                  </w:r>
                </w:p>
              </w:tc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35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National</w:t>
                  </w:r>
                </w:p>
              </w:tc>
            </w:tr>
            <w:tr w:rsidR="0059087C" w:rsidRPr="0059087C" w:rsidTr="00BD7D54">
              <w:trPr>
                <w:trHeight w:val="18"/>
              </w:trPr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Who validates</w:t>
                  </w:r>
                </w:p>
              </w:tc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Sector leads / TF</w:t>
                  </w:r>
                </w:p>
              </w:tc>
              <w:tc>
                <w:tcPr>
                  <w:tcW w:w="35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IMU</w:t>
                  </w:r>
                </w:p>
              </w:tc>
            </w:tr>
            <w:tr w:rsidR="0059087C" w:rsidRPr="0059087C" w:rsidTr="00BD7D54">
              <w:trPr>
                <w:trHeight w:val="18"/>
              </w:trPr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At what level</w:t>
                  </w:r>
                </w:p>
              </w:tc>
              <w:tc>
                <w:tcPr>
                  <w:tcW w:w="32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Field</w:t>
                  </w:r>
                </w:p>
              </w:tc>
              <w:tc>
                <w:tcPr>
                  <w:tcW w:w="35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9087C" w:rsidRPr="0059087C" w:rsidRDefault="0059087C" w:rsidP="0059087C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59087C">
                    <w:rPr>
                      <w:rFonts w:ascii="Times New Roman" w:hAnsi="Times New Roman"/>
                      <w:sz w:val="24"/>
                      <w:szCs w:val="24"/>
                    </w:rPr>
                    <w:t>National</w:t>
                  </w:r>
                </w:p>
              </w:tc>
            </w:tr>
          </w:tbl>
          <w:p w:rsidR="0059087C" w:rsidRPr="0059087C" w:rsidRDefault="0059087C" w:rsidP="0059087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B6505" w:rsidRPr="000B6505" w:rsidRDefault="000B6505" w:rsidP="000B650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B65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Agreement on the </w:t>
            </w:r>
            <w:r w:rsidR="00A77D2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possible </w:t>
            </w:r>
            <w:r w:rsidRPr="000B65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reporting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platforms</w:t>
            </w:r>
          </w:p>
          <w:p w:rsidR="00D55E4A" w:rsidRPr="00BD7D54" w:rsidRDefault="007467C8" w:rsidP="007A5FFD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After evaluation of the </w:t>
            </w:r>
            <w:r w:rsidR="00281AB6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platforms, </w:t>
            </w:r>
            <w:r w:rsidR="00281AB6">
              <w:rPr>
                <w:rFonts w:ascii="Times New Roman" w:hAnsi="Times New Roman"/>
                <w:sz w:val="24"/>
                <w:szCs w:val="24"/>
              </w:rPr>
              <w:t xml:space="preserve">it was agreed upon that </w:t>
            </w:r>
            <w:proofErr w:type="spellStart"/>
            <w:r w:rsidR="00281AB6" w:rsidRPr="002E0BF4">
              <w:rPr>
                <w:rFonts w:ascii="Times New Roman" w:hAnsi="Times New Roman"/>
                <w:sz w:val="24"/>
                <w:szCs w:val="24"/>
              </w:rPr>
              <w:t>ActivityInfo</w:t>
            </w:r>
            <w:proofErr w:type="spellEnd"/>
            <w:r w:rsidR="00281AB6">
              <w:rPr>
                <w:rFonts w:ascii="Times New Roman" w:hAnsi="Times New Roman"/>
                <w:sz w:val="24"/>
                <w:szCs w:val="24"/>
              </w:rPr>
              <w:t xml:space="preserve"> (AI) is </w:t>
            </w:r>
            <w:r>
              <w:rPr>
                <w:rFonts w:ascii="Times New Roman" w:hAnsi="Times New Roman"/>
                <w:sz w:val="24"/>
                <w:szCs w:val="24"/>
              </w:rPr>
              <w:t>the most suitable option</w:t>
            </w:r>
            <w:r w:rsidR="00281A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D54" w:rsidRDefault="00BD7D54" w:rsidP="00BD7D5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962"/>
              <w:gridCol w:w="2514"/>
              <w:gridCol w:w="1538"/>
              <w:gridCol w:w="1733"/>
              <w:gridCol w:w="1148"/>
            </w:tblGrid>
            <w:tr w:rsidR="00BD7D54" w:rsidRPr="00BD7D54" w:rsidTr="00281AB6">
              <w:trPr>
                <w:trHeight w:val="70"/>
              </w:trPr>
              <w:tc>
                <w:tcPr>
                  <w:tcW w:w="296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12" w:space="0" w:color="auto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12" w:space="0" w:color="auto"/>
                    <w:left w:val="single" w:sz="12" w:space="0" w:color="auto"/>
                    <w:bottom w:val="single" w:sz="24" w:space="0" w:color="FFFFFF"/>
                    <w:right w:val="single" w:sz="12" w:space="0" w:color="auto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AI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auto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LogAlto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RRMP</w:t>
                  </w:r>
                </w:p>
              </w:tc>
              <w:tc>
                <w:tcPr>
                  <w:tcW w:w="114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eTools</w:t>
                  </w:r>
                </w:p>
              </w:tc>
            </w:tr>
            <w:tr w:rsidR="00BD7D54" w:rsidRPr="00BD7D54" w:rsidTr="00281AB6">
              <w:trPr>
                <w:trHeight w:val="23"/>
              </w:trPr>
              <w:tc>
                <w:tcPr>
                  <w:tcW w:w="296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12" w:space="0" w:color="auto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Fit/Gap score</w:t>
                  </w:r>
                </w:p>
              </w:tc>
              <w:tc>
                <w:tcPr>
                  <w:tcW w:w="2514" w:type="dxa"/>
                  <w:tcBorders>
                    <w:top w:val="single" w:sz="24" w:space="0" w:color="FFFFFF"/>
                    <w:left w:val="single" w:sz="12" w:space="0" w:color="auto"/>
                    <w:bottom w:val="single" w:sz="8" w:space="0" w:color="FFFFFF"/>
                    <w:right w:val="single" w:sz="12" w:space="0" w:color="auto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24" w:space="0" w:color="FFFFFF"/>
                    <w:left w:val="single" w:sz="12" w:space="0" w:color="auto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N/A (pilot)</w:t>
                  </w:r>
                </w:p>
              </w:tc>
              <w:tc>
                <w:tcPr>
                  <w:tcW w:w="114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N/A (pilot)</w:t>
                  </w:r>
                </w:p>
              </w:tc>
            </w:tr>
            <w:tr w:rsidR="00BD7D54" w:rsidRPr="00BD7D54" w:rsidTr="00281AB6">
              <w:trPr>
                <w:trHeight w:val="18"/>
              </w:trPr>
              <w:tc>
                <w:tcPr>
                  <w:tcW w:w="2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auto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Cost for 2 years in USD</w:t>
                  </w:r>
                </w:p>
              </w:tc>
              <w:tc>
                <w:tcPr>
                  <w:tcW w:w="2514" w:type="dxa"/>
                  <w:tcBorders>
                    <w:top w:val="single" w:sz="8" w:space="0" w:color="FFFFFF"/>
                    <w:left w:val="single" w:sz="12" w:space="0" w:color="auto"/>
                    <w:bottom w:val="single" w:sz="8" w:space="0" w:color="FFFFFF"/>
                    <w:right w:val="single" w:sz="12" w:space="0" w:color="auto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~35,000 (w/o GFA)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auto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62,160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Free</w:t>
                  </w:r>
                </w:p>
              </w:tc>
              <w:tc>
                <w:tcPr>
                  <w:tcW w:w="11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Free</w:t>
                  </w:r>
                </w:p>
              </w:tc>
            </w:tr>
            <w:tr w:rsidR="00BD7D54" w:rsidRPr="00BD7D54" w:rsidTr="00281AB6">
              <w:trPr>
                <w:trHeight w:val="18"/>
              </w:trPr>
              <w:tc>
                <w:tcPr>
                  <w:tcW w:w="2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auto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Time to deploy</w:t>
                  </w:r>
                </w:p>
              </w:tc>
              <w:tc>
                <w:tcPr>
                  <w:tcW w:w="2514" w:type="dxa"/>
                  <w:tcBorders>
                    <w:top w:val="single" w:sz="8" w:space="0" w:color="FFFFFF"/>
                    <w:left w:val="single" w:sz="12" w:space="0" w:color="auto"/>
                    <w:bottom w:val="single" w:sz="8" w:space="0" w:color="FFFFFF"/>
                    <w:right w:val="single" w:sz="12" w:space="0" w:color="auto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Immediate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auto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End of year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End of year</w:t>
                  </w:r>
                </w:p>
              </w:tc>
              <w:tc>
                <w:tcPr>
                  <w:tcW w:w="11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After pilot</w:t>
                  </w:r>
                </w:p>
              </w:tc>
            </w:tr>
            <w:tr w:rsidR="00BD7D54" w:rsidRPr="00BD7D54" w:rsidTr="00281AB6">
              <w:trPr>
                <w:trHeight w:val="18"/>
              </w:trPr>
              <w:tc>
                <w:tcPr>
                  <w:tcW w:w="296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12" w:space="0" w:color="auto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Used for RRP in other countries</w:t>
                  </w:r>
                </w:p>
              </w:tc>
              <w:tc>
                <w:tcPr>
                  <w:tcW w:w="2514" w:type="dxa"/>
                  <w:tcBorders>
                    <w:top w:val="single" w:sz="8" w:space="0" w:color="FFFFFF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Yes, Whole of Syria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12" w:space="0" w:color="auto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Yes, Ethiopia</w:t>
                  </w:r>
                </w:p>
              </w:tc>
              <w:tc>
                <w:tcPr>
                  <w:tcW w:w="11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D7D54" w:rsidRPr="00BD7D54" w:rsidRDefault="00BD7D54" w:rsidP="00BD7D54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BD7D54">
                    <w:rPr>
                      <w:rFonts w:ascii="Times New Roman" w:hAnsi="Times New Roman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7467C8" w:rsidRPr="007467C8" w:rsidRDefault="007467C8" w:rsidP="007467C8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22808" w:rsidRPr="007467C8" w:rsidRDefault="007467C8" w:rsidP="007467C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Next steps</w:t>
            </w:r>
            <w:r w:rsidR="00AF26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/ Way forward</w:t>
            </w:r>
          </w:p>
          <w:p w:rsidR="007467C8" w:rsidRDefault="007467C8" w:rsidP="007467C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Pr="007467C8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November: The work </w:t>
            </w:r>
            <w:r w:rsidR="00384B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date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will be presented to the inter-sector</w:t>
            </w:r>
            <w:r w:rsidR="00384B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meeting</w:t>
            </w:r>
          </w:p>
          <w:p w:rsidR="007467C8" w:rsidRDefault="007467C8" w:rsidP="007467C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  <w:r w:rsidRPr="007467C8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November: Next task force meeting</w:t>
            </w:r>
          </w:p>
          <w:p w:rsidR="007467C8" w:rsidRDefault="007467C8" w:rsidP="007467C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26-30 November: The platform will be configured during this week</w:t>
            </w:r>
          </w:p>
          <w:p w:rsidR="00E94E8E" w:rsidRDefault="00E94E8E" w:rsidP="007467C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3-7 Decembe</w:t>
            </w:r>
            <w:r w:rsidR="00384B55">
              <w:rPr>
                <w:rFonts w:ascii="Times New Roman" w:hAnsi="Times New Roman"/>
                <w:sz w:val="24"/>
                <w:szCs w:val="24"/>
                <w:lang w:val="en-GB"/>
              </w:rPr>
              <w:t>r: Training of the sector leads</w:t>
            </w:r>
          </w:p>
          <w:p w:rsidR="00E94E8E" w:rsidRPr="00E94E8E" w:rsidRDefault="00E94E8E" w:rsidP="00E94E8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F2BA7" w:rsidRPr="000F2BA7" w:rsidRDefault="000F2BA7" w:rsidP="007005A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F2BA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AOB</w:t>
            </w:r>
          </w:p>
          <w:p w:rsidR="00F22808" w:rsidRPr="000F2BA7" w:rsidRDefault="004B1856" w:rsidP="000F2BA7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E94E8E">
              <w:rPr>
                <w:rFonts w:ascii="Times New Roman" w:hAnsi="Times New Roman"/>
                <w:sz w:val="24"/>
                <w:szCs w:val="24"/>
                <w:lang w:val="en-GB"/>
              </w:rPr>
              <w:t>ext meeting will be on 22</w:t>
            </w:r>
            <w:r w:rsidR="00E94E8E" w:rsidRPr="00E94E8E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nd</w:t>
            </w:r>
            <w:r w:rsidR="00E94E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Nov (3 – 4pm)</w:t>
            </w:r>
            <w:r w:rsidR="000F2BA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E71DBA" w:rsidRPr="000A1C1A" w:rsidTr="00BD7D54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4" w:name="MinuteActionItems"/>
            <w:bookmarkEnd w:id="4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PersonResponsible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Person 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Deadlin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85168B" w:rsidRPr="000A1C1A" w:rsidTr="00BD7D54">
        <w:trPr>
          <w:gridAfter w:val="1"/>
          <w:wAfter w:w="282" w:type="dxa"/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:rsidR="002E0BF4" w:rsidRPr="002237A8" w:rsidRDefault="002237A8" w:rsidP="00575AA4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B1856">
              <w:rPr>
                <w:rFonts w:ascii="Times New Roman" w:hAnsi="Times New Roman"/>
                <w:sz w:val="24"/>
                <w:szCs w:val="24"/>
                <w:lang w:val="en-GB"/>
              </w:rPr>
              <w:t>Reach out to colleagues in</w:t>
            </w:r>
            <w:r w:rsidR="004B1856" w:rsidRPr="002237A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UBOS, NPA and UNDP</w:t>
            </w:r>
            <w:bookmarkStart w:id="7" w:name="_GoBack"/>
            <w:bookmarkEnd w:id="7"/>
          </w:p>
        </w:tc>
        <w:tc>
          <w:tcPr>
            <w:tcW w:w="2706" w:type="dxa"/>
            <w:shd w:val="clear" w:color="auto" w:fill="auto"/>
            <w:vAlign w:val="center"/>
          </w:tcPr>
          <w:p w:rsidR="00BF0434" w:rsidRPr="002237A8" w:rsidRDefault="002237A8" w:rsidP="002237A8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45127" w:rsidRPr="002237A8">
              <w:rPr>
                <w:rFonts w:ascii="Times New Roman" w:hAnsi="Times New Roman"/>
                <w:sz w:val="24"/>
                <w:szCs w:val="24"/>
                <w:lang w:val="en-GB"/>
              </w:rPr>
              <w:t>BO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F0434" w:rsidRPr="002237A8" w:rsidRDefault="00581726" w:rsidP="001000CB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000CB">
              <w:rPr>
                <w:rFonts w:ascii="Times New Roman" w:hAnsi="Times New Roman"/>
                <w:sz w:val="24"/>
                <w:szCs w:val="24"/>
                <w:lang w:val="en-GB"/>
              </w:rPr>
              <w:t>EoY</w:t>
            </w:r>
            <w:proofErr w:type="spellEnd"/>
          </w:p>
        </w:tc>
      </w:tr>
      <w:bookmarkEnd w:id="3"/>
    </w:tbl>
    <w:p w:rsidR="008615EB" w:rsidRPr="000A1C1A" w:rsidRDefault="008615EB" w:rsidP="00E546F4">
      <w:pPr>
        <w:ind w:left="0"/>
        <w:rPr>
          <w:rFonts w:ascii="Maiandra GD" w:hAnsi="Maiandra GD"/>
          <w:lang w:val="en-GB"/>
        </w:rPr>
      </w:pPr>
    </w:p>
    <w:sectPr w:rsidR="008615EB" w:rsidRPr="000A1C1A" w:rsidSect="00D8181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21" w:rsidRDefault="000B6A21" w:rsidP="00464C4B">
      <w:r>
        <w:separator/>
      </w:r>
    </w:p>
  </w:endnote>
  <w:endnote w:type="continuationSeparator" w:id="0">
    <w:p w:rsidR="000B6A21" w:rsidRDefault="000B6A21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B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B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21" w:rsidRDefault="000B6A21" w:rsidP="00464C4B">
      <w:r>
        <w:separator/>
      </w:r>
    </w:p>
  </w:footnote>
  <w:footnote w:type="continuationSeparator" w:id="0">
    <w:p w:rsidR="000B6A21" w:rsidRDefault="000B6A21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0B6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0B6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4B" w:rsidRDefault="000B6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1B776AF2"/>
    <w:multiLevelType w:val="hybridMultilevel"/>
    <w:tmpl w:val="487C38FC"/>
    <w:lvl w:ilvl="0" w:tplc="6C80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50260A1E"/>
    <w:multiLevelType w:val="hybridMultilevel"/>
    <w:tmpl w:val="B18CD10E"/>
    <w:lvl w:ilvl="0" w:tplc="B8C8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810EB5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A61"/>
    <w:multiLevelType w:val="hybridMultilevel"/>
    <w:tmpl w:val="BCE6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CA3965"/>
    <w:multiLevelType w:val="hybridMultilevel"/>
    <w:tmpl w:val="2E56FF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2" w15:restartNumberingAfterBreak="0">
    <w:nsid w:val="6B6F5F0D"/>
    <w:multiLevelType w:val="hybridMultilevel"/>
    <w:tmpl w:val="789C9972"/>
    <w:lvl w:ilvl="0" w:tplc="2B08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8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3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4" w15:restartNumberingAfterBreak="0">
    <w:nsid w:val="6F7D68C3"/>
    <w:multiLevelType w:val="hybridMultilevel"/>
    <w:tmpl w:val="8500F9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6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20"/>
  </w:num>
  <w:num w:numId="14">
    <w:abstractNumId w:val="24"/>
  </w:num>
  <w:num w:numId="15">
    <w:abstractNumId w:val="14"/>
  </w:num>
  <w:num w:numId="16">
    <w:abstractNumId w:val="10"/>
  </w:num>
  <w:num w:numId="17">
    <w:abstractNumId w:val="18"/>
  </w:num>
  <w:num w:numId="18">
    <w:abstractNumId w:val="22"/>
  </w:num>
  <w:num w:numId="19">
    <w:abstractNumId w:val="35"/>
  </w:num>
  <w:num w:numId="20">
    <w:abstractNumId w:val="17"/>
  </w:num>
  <w:num w:numId="21">
    <w:abstractNumId w:val="27"/>
  </w:num>
  <w:num w:numId="22">
    <w:abstractNumId w:val="13"/>
  </w:num>
  <w:num w:numId="23">
    <w:abstractNumId w:val="12"/>
  </w:num>
  <w:num w:numId="24">
    <w:abstractNumId w:val="33"/>
  </w:num>
  <w:num w:numId="25">
    <w:abstractNumId w:val="21"/>
  </w:num>
  <w:num w:numId="26">
    <w:abstractNumId w:val="36"/>
  </w:num>
  <w:num w:numId="27">
    <w:abstractNumId w:val="28"/>
  </w:num>
  <w:num w:numId="28">
    <w:abstractNumId w:val="31"/>
  </w:num>
  <w:num w:numId="29">
    <w:abstractNumId w:val="31"/>
  </w:num>
  <w:num w:numId="30">
    <w:abstractNumId w:val="23"/>
  </w:num>
  <w:num w:numId="31">
    <w:abstractNumId w:val="19"/>
  </w:num>
  <w:num w:numId="32">
    <w:abstractNumId w:val="26"/>
  </w:num>
  <w:num w:numId="33">
    <w:abstractNumId w:val="29"/>
  </w:num>
  <w:num w:numId="34">
    <w:abstractNumId w:val="32"/>
  </w:num>
  <w:num w:numId="35">
    <w:abstractNumId w:val="15"/>
  </w:num>
  <w:num w:numId="36">
    <w:abstractNumId w:val="25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1037C"/>
    <w:rsid w:val="000145A5"/>
    <w:rsid w:val="000312F9"/>
    <w:rsid w:val="00043514"/>
    <w:rsid w:val="000467DE"/>
    <w:rsid w:val="000A1C1A"/>
    <w:rsid w:val="000A3E9F"/>
    <w:rsid w:val="000B6505"/>
    <w:rsid w:val="000B6A21"/>
    <w:rsid w:val="000B6A65"/>
    <w:rsid w:val="000D0FE8"/>
    <w:rsid w:val="000D1C32"/>
    <w:rsid w:val="000D7435"/>
    <w:rsid w:val="000E37E9"/>
    <w:rsid w:val="000F2BA7"/>
    <w:rsid w:val="001000CB"/>
    <w:rsid w:val="0011140C"/>
    <w:rsid w:val="00132681"/>
    <w:rsid w:val="00133E47"/>
    <w:rsid w:val="00145127"/>
    <w:rsid w:val="00162037"/>
    <w:rsid w:val="00195948"/>
    <w:rsid w:val="00197A5B"/>
    <w:rsid w:val="001A66ED"/>
    <w:rsid w:val="001F32FA"/>
    <w:rsid w:val="002138F0"/>
    <w:rsid w:val="002237A8"/>
    <w:rsid w:val="00264B18"/>
    <w:rsid w:val="0028036E"/>
    <w:rsid w:val="00281AB6"/>
    <w:rsid w:val="002B211F"/>
    <w:rsid w:val="002B63B6"/>
    <w:rsid w:val="002E0BF4"/>
    <w:rsid w:val="00336204"/>
    <w:rsid w:val="00341165"/>
    <w:rsid w:val="00344FA0"/>
    <w:rsid w:val="00350B55"/>
    <w:rsid w:val="00364A91"/>
    <w:rsid w:val="00366B5F"/>
    <w:rsid w:val="00367EE6"/>
    <w:rsid w:val="00384B55"/>
    <w:rsid w:val="00397307"/>
    <w:rsid w:val="003B0D5A"/>
    <w:rsid w:val="003B6885"/>
    <w:rsid w:val="003C2FBE"/>
    <w:rsid w:val="003D4D5F"/>
    <w:rsid w:val="00417272"/>
    <w:rsid w:val="004224E8"/>
    <w:rsid w:val="00423E89"/>
    <w:rsid w:val="00455ACF"/>
    <w:rsid w:val="00456620"/>
    <w:rsid w:val="00461D8A"/>
    <w:rsid w:val="00463BD6"/>
    <w:rsid w:val="00464C4B"/>
    <w:rsid w:val="004700C8"/>
    <w:rsid w:val="00473156"/>
    <w:rsid w:val="00490264"/>
    <w:rsid w:val="00495E0E"/>
    <w:rsid w:val="004A49F1"/>
    <w:rsid w:val="004B1856"/>
    <w:rsid w:val="004B5FB7"/>
    <w:rsid w:val="004B6E9C"/>
    <w:rsid w:val="005052C5"/>
    <w:rsid w:val="0052620C"/>
    <w:rsid w:val="005262FE"/>
    <w:rsid w:val="00531002"/>
    <w:rsid w:val="00536DFE"/>
    <w:rsid w:val="00575AA4"/>
    <w:rsid w:val="0058054A"/>
    <w:rsid w:val="00581726"/>
    <w:rsid w:val="0059087C"/>
    <w:rsid w:val="00591A19"/>
    <w:rsid w:val="00594E3C"/>
    <w:rsid w:val="005A3F89"/>
    <w:rsid w:val="005A4C69"/>
    <w:rsid w:val="005B4842"/>
    <w:rsid w:val="005D1C27"/>
    <w:rsid w:val="005E14C5"/>
    <w:rsid w:val="005F58B2"/>
    <w:rsid w:val="005F7E01"/>
    <w:rsid w:val="00624AB3"/>
    <w:rsid w:val="0062649D"/>
    <w:rsid w:val="00674813"/>
    <w:rsid w:val="00692553"/>
    <w:rsid w:val="00694CFC"/>
    <w:rsid w:val="006B5EEA"/>
    <w:rsid w:val="006D7E35"/>
    <w:rsid w:val="006D7F55"/>
    <w:rsid w:val="007005A7"/>
    <w:rsid w:val="00742CA0"/>
    <w:rsid w:val="007467C8"/>
    <w:rsid w:val="007554A1"/>
    <w:rsid w:val="007A5FFD"/>
    <w:rsid w:val="007C0A8F"/>
    <w:rsid w:val="007C174F"/>
    <w:rsid w:val="007E2D6A"/>
    <w:rsid w:val="007F3B7B"/>
    <w:rsid w:val="00827C84"/>
    <w:rsid w:val="00831176"/>
    <w:rsid w:val="0085167A"/>
    <w:rsid w:val="0085168B"/>
    <w:rsid w:val="00860A5D"/>
    <w:rsid w:val="008615EB"/>
    <w:rsid w:val="00871535"/>
    <w:rsid w:val="008B2336"/>
    <w:rsid w:val="008C7370"/>
    <w:rsid w:val="008F49C0"/>
    <w:rsid w:val="00903EDB"/>
    <w:rsid w:val="00954110"/>
    <w:rsid w:val="00962B7B"/>
    <w:rsid w:val="00963EEE"/>
    <w:rsid w:val="00970977"/>
    <w:rsid w:val="00972122"/>
    <w:rsid w:val="00987202"/>
    <w:rsid w:val="009979A8"/>
    <w:rsid w:val="009C6D46"/>
    <w:rsid w:val="009D5830"/>
    <w:rsid w:val="009F3BC3"/>
    <w:rsid w:val="00A25464"/>
    <w:rsid w:val="00A377DD"/>
    <w:rsid w:val="00A538CD"/>
    <w:rsid w:val="00A6476D"/>
    <w:rsid w:val="00A655AC"/>
    <w:rsid w:val="00A6715C"/>
    <w:rsid w:val="00A73FE8"/>
    <w:rsid w:val="00A75813"/>
    <w:rsid w:val="00A77D25"/>
    <w:rsid w:val="00AA08D1"/>
    <w:rsid w:val="00AC45E5"/>
    <w:rsid w:val="00AC5120"/>
    <w:rsid w:val="00AE3851"/>
    <w:rsid w:val="00AF194A"/>
    <w:rsid w:val="00AF2686"/>
    <w:rsid w:val="00B33783"/>
    <w:rsid w:val="00B415DD"/>
    <w:rsid w:val="00B714DF"/>
    <w:rsid w:val="00B84015"/>
    <w:rsid w:val="00B92F10"/>
    <w:rsid w:val="00BB24CC"/>
    <w:rsid w:val="00BB5323"/>
    <w:rsid w:val="00BD05B7"/>
    <w:rsid w:val="00BD7D54"/>
    <w:rsid w:val="00BE4FFD"/>
    <w:rsid w:val="00BF0434"/>
    <w:rsid w:val="00BF65DF"/>
    <w:rsid w:val="00C166AB"/>
    <w:rsid w:val="00C23F64"/>
    <w:rsid w:val="00C35CFF"/>
    <w:rsid w:val="00C56D86"/>
    <w:rsid w:val="00C6100D"/>
    <w:rsid w:val="00C6365F"/>
    <w:rsid w:val="00C678EE"/>
    <w:rsid w:val="00C8325B"/>
    <w:rsid w:val="00C84219"/>
    <w:rsid w:val="00C9395B"/>
    <w:rsid w:val="00CA1952"/>
    <w:rsid w:val="00CA32FC"/>
    <w:rsid w:val="00CB3760"/>
    <w:rsid w:val="00CB5EF6"/>
    <w:rsid w:val="00CB6FF6"/>
    <w:rsid w:val="00CC4EE8"/>
    <w:rsid w:val="00CD2913"/>
    <w:rsid w:val="00CE18DB"/>
    <w:rsid w:val="00CE4B82"/>
    <w:rsid w:val="00CE6342"/>
    <w:rsid w:val="00CF0132"/>
    <w:rsid w:val="00D01F39"/>
    <w:rsid w:val="00D306E8"/>
    <w:rsid w:val="00D55E4A"/>
    <w:rsid w:val="00D621F4"/>
    <w:rsid w:val="00D8181B"/>
    <w:rsid w:val="00D84086"/>
    <w:rsid w:val="00D92313"/>
    <w:rsid w:val="00DA41DA"/>
    <w:rsid w:val="00DD2F1C"/>
    <w:rsid w:val="00DD33ED"/>
    <w:rsid w:val="00E27B30"/>
    <w:rsid w:val="00E43BAB"/>
    <w:rsid w:val="00E4591C"/>
    <w:rsid w:val="00E46D52"/>
    <w:rsid w:val="00E546F4"/>
    <w:rsid w:val="00E60E43"/>
    <w:rsid w:val="00E711A3"/>
    <w:rsid w:val="00E71DBA"/>
    <w:rsid w:val="00E94E8E"/>
    <w:rsid w:val="00EA2581"/>
    <w:rsid w:val="00EA7080"/>
    <w:rsid w:val="00EB4655"/>
    <w:rsid w:val="00ED3E4E"/>
    <w:rsid w:val="00EF3B1A"/>
    <w:rsid w:val="00F22808"/>
    <w:rsid w:val="00F63C83"/>
    <w:rsid w:val="00FD0014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49875D5C-CEDE-4353-8236-51C30F6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5C11C5"/>
    <w:rsid w:val="007D3A5B"/>
    <w:rsid w:val="007E4778"/>
    <w:rsid w:val="008332DB"/>
    <w:rsid w:val="008742C9"/>
    <w:rsid w:val="00971FA8"/>
    <w:rsid w:val="009B7F91"/>
    <w:rsid w:val="00A50911"/>
    <w:rsid w:val="00AC3768"/>
    <w:rsid w:val="00B36FC4"/>
    <w:rsid w:val="00BB7046"/>
    <w:rsid w:val="00C6229F"/>
    <w:rsid w:val="00CB3981"/>
    <w:rsid w:val="00D63987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75CF2-4FE7-40E8-BD24-D1344B26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159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Hillary Mumbere</dc:creator>
  <cp:keywords/>
  <cp:lastModifiedBy>Bo Hurkmans</cp:lastModifiedBy>
  <cp:revision>9</cp:revision>
  <cp:lastPrinted>2004-01-21T19:22:00Z</cp:lastPrinted>
  <dcterms:created xsi:type="dcterms:W3CDTF">2018-11-16T08:18:00Z</dcterms:created>
  <dcterms:modified xsi:type="dcterms:W3CDTF">2018-11-21T11:42:00Z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