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21" w:rsidRPr="00767A0A" w:rsidRDefault="00344521" w:rsidP="000C27DE">
      <w:pPr>
        <w:pStyle w:val="Title"/>
        <w:jc w:val="center"/>
        <w:rPr>
          <w:rFonts w:asciiTheme="minorHAnsi" w:hAnsiTheme="minorHAnsi"/>
          <w:sz w:val="40"/>
          <w:szCs w:val="40"/>
        </w:rPr>
      </w:pPr>
      <w:bookmarkStart w:id="0" w:name="_GoBack"/>
      <w:bookmarkEnd w:id="0"/>
      <w:r w:rsidRPr="00767A0A">
        <w:rPr>
          <w:rFonts w:asciiTheme="minorHAnsi" w:hAnsiTheme="minorHAnsi"/>
          <w:sz w:val="40"/>
          <w:szCs w:val="40"/>
        </w:rPr>
        <w:t xml:space="preserve">Public Health Emergency </w:t>
      </w:r>
      <w:r w:rsidR="000C27DE">
        <w:rPr>
          <w:rFonts w:asciiTheme="minorHAnsi" w:hAnsiTheme="minorHAnsi"/>
          <w:sz w:val="40"/>
          <w:szCs w:val="40"/>
        </w:rPr>
        <w:t>Strategic Framework for the Burundi Refugee Influx Situation, Tanzania</w:t>
      </w:r>
    </w:p>
    <w:p w:rsidR="00256ACC" w:rsidRDefault="00256ACC" w:rsidP="00344521">
      <w:pPr>
        <w:jc w:val="both"/>
        <w:rPr>
          <w:sz w:val="24"/>
          <w:szCs w:val="24"/>
        </w:rPr>
      </w:pPr>
      <w:r w:rsidRPr="00256ACC">
        <w:rPr>
          <w:sz w:val="24"/>
          <w:szCs w:val="24"/>
        </w:rPr>
        <w:t>As of 8 July, there are close to 76,000 Burundians in Nyarugusu camp, Kasulu. From 1 May to 20 June 2015, the field operation in Kigoma Region witnessed an influx of close to 58,000 Burundian refugees</w:t>
      </w:r>
      <w:r>
        <w:rPr>
          <w:sz w:val="24"/>
          <w:szCs w:val="24"/>
        </w:rPr>
        <w:t xml:space="preserve">, </w:t>
      </w:r>
      <w:r w:rsidRPr="00256ACC">
        <w:rPr>
          <w:sz w:val="24"/>
          <w:szCs w:val="24"/>
        </w:rPr>
        <w:t>67% of whom arrived into Tanzania through Kagunga, while the remaining came through various other entry p</w:t>
      </w:r>
      <w:r>
        <w:rPr>
          <w:sz w:val="24"/>
          <w:szCs w:val="24"/>
        </w:rPr>
        <w:t xml:space="preserve">oints along the border. </w:t>
      </w:r>
      <w:r w:rsidRPr="00256ACC">
        <w:rPr>
          <w:sz w:val="24"/>
          <w:szCs w:val="24"/>
        </w:rPr>
        <w:t>From 20 June to 8 July, 17,825 individuals have arrived in the country with the majority (24%) arriving through Manyovu and other points along the Kibondo-Ngara axis. From 21 June to 8 July, the average daily rate of arrivals, into Nyarugusu camp stands at 1,048 individuals. UNHCR anticipates the arrival of some 150,000 Burundian refugees in Tanzania by end 2015.</w:t>
      </w:r>
    </w:p>
    <w:p w:rsidR="007023D1" w:rsidRDefault="007023D1" w:rsidP="00344521">
      <w:pPr>
        <w:jc w:val="both"/>
        <w:rPr>
          <w:sz w:val="24"/>
          <w:szCs w:val="24"/>
        </w:rPr>
      </w:pPr>
      <w:r w:rsidRPr="007023D1">
        <w:rPr>
          <w:sz w:val="24"/>
          <w:szCs w:val="24"/>
        </w:rPr>
        <w:t>T</w:t>
      </w:r>
      <w:r w:rsidR="000070DF">
        <w:rPr>
          <w:sz w:val="24"/>
          <w:szCs w:val="24"/>
        </w:rPr>
        <w:t>he goal of the health</w:t>
      </w:r>
      <w:r w:rsidRPr="007023D1">
        <w:rPr>
          <w:sz w:val="24"/>
          <w:szCs w:val="24"/>
        </w:rPr>
        <w:t xml:space="preserve"> emergency response is to keep the core indicators below the emergency threshold of </w:t>
      </w:r>
    </w:p>
    <w:p w:rsidR="007023D1" w:rsidRPr="007023D1" w:rsidRDefault="007023D1" w:rsidP="007023D1">
      <w:pPr>
        <w:pStyle w:val="ListParagraph"/>
        <w:numPr>
          <w:ilvl w:val="0"/>
          <w:numId w:val="11"/>
        </w:numPr>
        <w:jc w:val="both"/>
        <w:rPr>
          <w:sz w:val="24"/>
          <w:szCs w:val="24"/>
        </w:rPr>
      </w:pPr>
      <w:r w:rsidRPr="007023D1">
        <w:rPr>
          <w:sz w:val="24"/>
          <w:szCs w:val="24"/>
        </w:rPr>
        <w:t xml:space="preserve">Crude Mortality Rate (CMR) of 1/10,000/day and under 5 mortality rate (U5-MR) of 2/10,000/day; </w:t>
      </w:r>
    </w:p>
    <w:p w:rsidR="007023D1" w:rsidRPr="007023D1" w:rsidRDefault="007023D1" w:rsidP="007023D1">
      <w:pPr>
        <w:pStyle w:val="ListParagraph"/>
        <w:numPr>
          <w:ilvl w:val="0"/>
          <w:numId w:val="11"/>
        </w:numPr>
        <w:jc w:val="both"/>
        <w:rPr>
          <w:sz w:val="24"/>
          <w:szCs w:val="24"/>
        </w:rPr>
      </w:pPr>
      <w:r w:rsidRPr="007023D1">
        <w:rPr>
          <w:sz w:val="24"/>
          <w:szCs w:val="24"/>
        </w:rPr>
        <w:t xml:space="preserve">Global Acute Malnutrition (GAM) below 10% and Severe Acute Malnutrition (SAM) below 1%; and </w:t>
      </w:r>
    </w:p>
    <w:p w:rsidR="00256ACC" w:rsidRPr="007023D1" w:rsidRDefault="007023D1" w:rsidP="007023D1">
      <w:pPr>
        <w:pStyle w:val="ListParagraph"/>
        <w:numPr>
          <w:ilvl w:val="0"/>
          <w:numId w:val="11"/>
        </w:numPr>
        <w:jc w:val="both"/>
        <w:rPr>
          <w:sz w:val="24"/>
          <w:szCs w:val="24"/>
        </w:rPr>
      </w:pPr>
      <w:r w:rsidRPr="007023D1">
        <w:rPr>
          <w:sz w:val="24"/>
          <w:szCs w:val="24"/>
        </w:rPr>
        <w:t>Prevent the occurrence of disease outbreaks as well as malnutrition.</w:t>
      </w:r>
    </w:p>
    <w:p w:rsidR="00344521" w:rsidRPr="0097001E" w:rsidRDefault="00344521" w:rsidP="00344521">
      <w:pPr>
        <w:pStyle w:val="Heading2"/>
        <w:numPr>
          <w:ilvl w:val="0"/>
          <w:numId w:val="7"/>
        </w:numPr>
        <w:jc w:val="both"/>
        <w:rPr>
          <w:rFonts w:asciiTheme="minorHAnsi" w:hAnsiTheme="minorHAnsi"/>
          <w:sz w:val="24"/>
          <w:szCs w:val="24"/>
        </w:rPr>
      </w:pPr>
      <w:r w:rsidRPr="0097001E">
        <w:rPr>
          <w:rFonts w:asciiTheme="minorHAnsi" w:hAnsiTheme="minorHAnsi"/>
          <w:sz w:val="24"/>
          <w:szCs w:val="24"/>
        </w:rPr>
        <w:t>Inter-agency Coordination</w:t>
      </w:r>
    </w:p>
    <w:p w:rsidR="00344521" w:rsidRPr="00767A0A" w:rsidRDefault="00344521" w:rsidP="00344521">
      <w:pPr>
        <w:pStyle w:val="ListParagraph"/>
        <w:numPr>
          <w:ilvl w:val="0"/>
          <w:numId w:val="3"/>
        </w:numPr>
        <w:jc w:val="both"/>
        <w:rPr>
          <w:sz w:val="24"/>
          <w:szCs w:val="24"/>
        </w:rPr>
      </w:pPr>
      <w:r w:rsidRPr="00767A0A">
        <w:rPr>
          <w:sz w:val="24"/>
          <w:szCs w:val="24"/>
        </w:rPr>
        <w:t xml:space="preserve">Collaboration with the </w:t>
      </w:r>
      <w:r w:rsidR="007023D1">
        <w:rPr>
          <w:sz w:val="24"/>
          <w:szCs w:val="24"/>
        </w:rPr>
        <w:t xml:space="preserve">Tanzania </w:t>
      </w:r>
      <w:r w:rsidRPr="00767A0A">
        <w:rPr>
          <w:sz w:val="24"/>
          <w:szCs w:val="24"/>
        </w:rPr>
        <w:t>Ministry of Health/ local health officials should be regular, resulting in increased government support to the health response</w:t>
      </w:r>
    </w:p>
    <w:p w:rsidR="007023D1" w:rsidRDefault="007023D1" w:rsidP="00344521">
      <w:pPr>
        <w:pStyle w:val="ListParagraph"/>
        <w:numPr>
          <w:ilvl w:val="0"/>
          <w:numId w:val="3"/>
        </w:numPr>
        <w:jc w:val="both"/>
        <w:rPr>
          <w:sz w:val="24"/>
          <w:szCs w:val="24"/>
        </w:rPr>
      </w:pPr>
      <w:r>
        <w:rPr>
          <w:sz w:val="24"/>
          <w:szCs w:val="24"/>
        </w:rPr>
        <w:t>An interagency health</w:t>
      </w:r>
      <w:r w:rsidR="00344521" w:rsidRPr="00767A0A">
        <w:rPr>
          <w:sz w:val="24"/>
          <w:szCs w:val="24"/>
        </w:rPr>
        <w:t xml:space="preserve"> coordination meeting </w:t>
      </w:r>
      <w:r>
        <w:rPr>
          <w:sz w:val="24"/>
          <w:szCs w:val="24"/>
        </w:rPr>
        <w:t xml:space="preserve">takes place </w:t>
      </w:r>
      <w:r w:rsidR="00344521" w:rsidRPr="00767A0A">
        <w:rPr>
          <w:sz w:val="24"/>
          <w:szCs w:val="24"/>
        </w:rPr>
        <w:t xml:space="preserve">once </w:t>
      </w:r>
      <w:r>
        <w:rPr>
          <w:sz w:val="24"/>
          <w:szCs w:val="24"/>
        </w:rPr>
        <w:t>a</w:t>
      </w:r>
      <w:r w:rsidR="00344521" w:rsidRPr="00767A0A">
        <w:rPr>
          <w:sz w:val="24"/>
          <w:szCs w:val="24"/>
        </w:rPr>
        <w:t xml:space="preserve"> week</w:t>
      </w:r>
      <w:r>
        <w:rPr>
          <w:sz w:val="24"/>
          <w:szCs w:val="24"/>
        </w:rPr>
        <w:t xml:space="preserve"> at Nyarugusu camp</w:t>
      </w:r>
      <w:r w:rsidR="00344521" w:rsidRPr="00767A0A">
        <w:rPr>
          <w:sz w:val="24"/>
          <w:szCs w:val="24"/>
        </w:rPr>
        <w:t>.</w:t>
      </w:r>
      <w:r>
        <w:rPr>
          <w:sz w:val="24"/>
          <w:szCs w:val="24"/>
        </w:rPr>
        <w:t xml:space="preserve"> UNHCR and the District medical officer (DMO) co-chair the meeting.</w:t>
      </w:r>
    </w:p>
    <w:p w:rsidR="007023D1" w:rsidRDefault="007023D1" w:rsidP="00344521">
      <w:pPr>
        <w:pStyle w:val="ListParagraph"/>
        <w:numPr>
          <w:ilvl w:val="0"/>
          <w:numId w:val="3"/>
        </w:numPr>
        <w:jc w:val="both"/>
        <w:rPr>
          <w:sz w:val="24"/>
          <w:szCs w:val="24"/>
        </w:rPr>
      </w:pPr>
      <w:r>
        <w:rPr>
          <w:sz w:val="24"/>
          <w:szCs w:val="24"/>
        </w:rPr>
        <w:t>There are also regional level meetings led by the Kigoma Regional Medical Officer (RMO)</w:t>
      </w:r>
      <w:r w:rsidR="00344521" w:rsidRPr="00767A0A">
        <w:rPr>
          <w:sz w:val="24"/>
          <w:szCs w:val="24"/>
        </w:rPr>
        <w:t xml:space="preserve"> </w:t>
      </w:r>
      <w:r>
        <w:rPr>
          <w:sz w:val="24"/>
          <w:szCs w:val="24"/>
        </w:rPr>
        <w:t>every Monday and Friday at Kigoma level to which partners working in the refugee hosting areas and elsewhere in Kigoma are required to attend.</w:t>
      </w:r>
    </w:p>
    <w:p w:rsidR="00DF195D" w:rsidRDefault="00DF195D" w:rsidP="00344521">
      <w:pPr>
        <w:pStyle w:val="Heading2"/>
        <w:numPr>
          <w:ilvl w:val="0"/>
          <w:numId w:val="7"/>
        </w:numPr>
        <w:jc w:val="both"/>
        <w:rPr>
          <w:rFonts w:asciiTheme="minorHAnsi" w:hAnsiTheme="minorHAnsi"/>
          <w:sz w:val="24"/>
          <w:szCs w:val="24"/>
        </w:rPr>
      </w:pPr>
      <w:r>
        <w:rPr>
          <w:rFonts w:asciiTheme="minorHAnsi" w:hAnsiTheme="minorHAnsi"/>
          <w:sz w:val="24"/>
          <w:szCs w:val="24"/>
        </w:rPr>
        <w:t>Referral</w:t>
      </w:r>
    </w:p>
    <w:p w:rsidR="00DF195D" w:rsidRPr="00DF195D" w:rsidRDefault="00DF195D" w:rsidP="00DF195D">
      <w:r>
        <w:t>All referrals should be done in line with Tanzania medical referral SOPs and UNHCR g</w:t>
      </w:r>
      <w:r w:rsidR="007532E5">
        <w:t>lobal guidelines. A specific referral pathway</w:t>
      </w:r>
      <w:r>
        <w:t xml:space="preserve"> for the Burundi refugee influx situation has been developed.</w:t>
      </w:r>
    </w:p>
    <w:p w:rsidR="00344521" w:rsidRPr="00767A0A" w:rsidRDefault="00344521" w:rsidP="00344521">
      <w:pPr>
        <w:pStyle w:val="Heading2"/>
        <w:numPr>
          <w:ilvl w:val="0"/>
          <w:numId w:val="7"/>
        </w:numPr>
        <w:jc w:val="both"/>
        <w:rPr>
          <w:rFonts w:asciiTheme="minorHAnsi" w:hAnsiTheme="minorHAnsi"/>
          <w:sz w:val="24"/>
          <w:szCs w:val="24"/>
        </w:rPr>
      </w:pPr>
      <w:r w:rsidRPr="00767A0A">
        <w:rPr>
          <w:rFonts w:asciiTheme="minorHAnsi" w:hAnsiTheme="minorHAnsi"/>
          <w:sz w:val="24"/>
          <w:szCs w:val="24"/>
        </w:rPr>
        <w:t>Data</w:t>
      </w:r>
    </w:p>
    <w:p w:rsidR="00344521" w:rsidRPr="00767A0A" w:rsidRDefault="00344521" w:rsidP="00344521">
      <w:pPr>
        <w:jc w:val="both"/>
        <w:rPr>
          <w:sz w:val="24"/>
          <w:szCs w:val="24"/>
        </w:rPr>
      </w:pPr>
      <w:r>
        <w:rPr>
          <w:sz w:val="24"/>
          <w:szCs w:val="24"/>
        </w:rPr>
        <w:t xml:space="preserve">The following is recommended: </w:t>
      </w:r>
      <w:r w:rsidRPr="00767A0A">
        <w:rPr>
          <w:sz w:val="24"/>
          <w:szCs w:val="24"/>
        </w:rPr>
        <w:t xml:space="preserve"> </w:t>
      </w:r>
    </w:p>
    <w:p w:rsidR="00344521" w:rsidRPr="00767A0A" w:rsidRDefault="00344521" w:rsidP="00344521">
      <w:pPr>
        <w:pStyle w:val="ListParagraph"/>
        <w:numPr>
          <w:ilvl w:val="0"/>
          <w:numId w:val="1"/>
        </w:numPr>
        <w:jc w:val="both"/>
        <w:rPr>
          <w:sz w:val="24"/>
          <w:szCs w:val="24"/>
        </w:rPr>
      </w:pPr>
      <w:r>
        <w:rPr>
          <w:sz w:val="24"/>
          <w:szCs w:val="24"/>
        </w:rPr>
        <w:t>E</w:t>
      </w:r>
      <w:r w:rsidRPr="00767A0A">
        <w:rPr>
          <w:sz w:val="24"/>
          <w:szCs w:val="24"/>
        </w:rPr>
        <w:t>mergency HIS</w:t>
      </w:r>
      <w:r>
        <w:rPr>
          <w:sz w:val="24"/>
          <w:szCs w:val="24"/>
        </w:rPr>
        <w:t xml:space="preserve"> (morbidity &amp; mortality minimum)</w:t>
      </w:r>
      <w:r w:rsidRPr="00767A0A">
        <w:rPr>
          <w:sz w:val="24"/>
          <w:szCs w:val="24"/>
        </w:rPr>
        <w:t xml:space="preserve"> </w:t>
      </w:r>
      <w:r>
        <w:rPr>
          <w:sz w:val="24"/>
          <w:szCs w:val="24"/>
        </w:rPr>
        <w:t>at way stations and transit locations. Data co</w:t>
      </w:r>
      <w:r w:rsidRPr="00767A0A">
        <w:rPr>
          <w:sz w:val="24"/>
          <w:szCs w:val="24"/>
        </w:rPr>
        <w:t xml:space="preserve">llection tools </w:t>
      </w:r>
      <w:r>
        <w:rPr>
          <w:sz w:val="24"/>
          <w:szCs w:val="24"/>
        </w:rPr>
        <w:t xml:space="preserve">are </w:t>
      </w:r>
      <w:r w:rsidRPr="00767A0A">
        <w:rPr>
          <w:sz w:val="24"/>
          <w:szCs w:val="24"/>
        </w:rPr>
        <w:t xml:space="preserve">available online at </w:t>
      </w:r>
      <w:hyperlink r:id="rId9" w:history="1">
        <w:r w:rsidRPr="00767A0A">
          <w:rPr>
            <w:rStyle w:val="Hyperlink"/>
            <w:sz w:val="24"/>
            <w:szCs w:val="24"/>
          </w:rPr>
          <w:t>http://www.unhcr.org/4a3374408.html</w:t>
        </w:r>
      </w:hyperlink>
      <w:r w:rsidRPr="00767A0A">
        <w:rPr>
          <w:sz w:val="24"/>
          <w:szCs w:val="24"/>
        </w:rPr>
        <w:t>)</w:t>
      </w:r>
    </w:p>
    <w:p w:rsidR="00344521" w:rsidRDefault="00344521" w:rsidP="00344521">
      <w:pPr>
        <w:pStyle w:val="ListParagraph"/>
        <w:numPr>
          <w:ilvl w:val="0"/>
          <w:numId w:val="1"/>
        </w:numPr>
        <w:jc w:val="both"/>
        <w:rPr>
          <w:sz w:val="24"/>
          <w:szCs w:val="24"/>
        </w:rPr>
      </w:pPr>
      <w:r>
        <w:rPr>
          <w:sz w:val="24"/>
          <w:szCs w:val="24"/>
        </w:rPr>
        <w:t>Comprehensive HIS reporting to continue in Nyarugusu camp.</w:t>
      </w:r>
    </w:p>
    <w:p w:rsidR="00344521" w:rsidRPr="00767A0A" w:rsidRDefault="00344521" w:rsidP="00344521">
      <w:pPr>
        <w:pStyle w:val="ListParagraph"/>
        <w:numPr>
          <w:ilvl w:val="0"/>
          <w:numId w:val="1"/>
        </w:numPr>
        <w:jc w:val="both"/>
        <w:rPr>
          <w:sz w:val="24"/>
          <w:szCs w:val="24"/>
        </w:rPr>
      </w:pPr>
      <w:r>
        <w:rPr>
          <w:sz w:val="24"/>
          <w:szCs w:val="24"/>
        </w:rPr>
        <w:lastRenderedPageBreak/>
        <w:t>B</w:t>
      </w:r>
      <w:r w:rsidRPr="00767A0A">
        <w:rPr>
          <w:sz w:val="24"/>
          <w:szCs w:val="24"/>
        </w:rPr>
        <w:t>asic i</w:t>
      </w:r>
      <w:r>
        <w:rPr>
          <w:sz w:val="24"/>
          <w:szCs w:val="24"/>
        </w:rPr>
        <w:t>ndicator report (BIR) for new and</w:t>
      </w:r>
      <w:r w:rsidRPr="00767A0A">
        <w:rPr>
          <w:sz w:val="24"/>
          <w:szCs w:val="24"/>
        </w:rPr>
        <w:t xml:space="preserve"> existing sites/camps </w:t>
      </w:r>
      <w:r>
        <w:rPr>
          <w:sz w:val="24"/>
          <w:szCs w:val="24"/>
        </w:rPr>
        <w:t xml:space="preserve">receiving new arrivals </w:t>
      </w:r>
      <w:r w:rsidRPr="00767A0A">
        <w:rPr>
          <w:sz w:val="24"/>
          <w:szCs w:val="24"/>
        </w:rPr>
        <w:t>and fill in the data on weekly basis.</w:t>
      </w:r>
    </w:p>
    <w:p w:rsidR="00344521" w:rsidRPr="00767A0A" w:rsidRDefault="00344521" w:rsidP="00344521">
      <w:pPr>
        <w:pStyle w:val="ListParagraph"/>
        <w:numPr>
          <w:ilvl w:val="0"/>
          <w:numId w:val="1"/>
        </w:numPr>
        <w:jc w:val="both"/>
        <w:rPr>
          <w:sz w:val="24"/>
          <w:szCs w:val="24"/>
        </w:rPr>
      </w:pPr>
      <w:r w:rsidRPr="00767A0A">
        <w:rPr>
          <w:sz w:val="24"/>
          <w:szCs w:val="24"/>
        </w:rPr>
        <w:t xml:space="preserve">WASH monitoring system (WMS) is a tool for tracking key WASH indicators at household and community levels in refugee camp settings. The tool also monitors trends in diseases related to hygiene and sanitation conditions in camps. </w:t>
      </w:r>
    </w:p>
    <w:p w:rsidR="00344521" w:rsidRPr="00767A0A" w:rsidRDefault="00344521" w:rsidP="00344521">
      <w:pPr>
        <w:pStyle w:val="ListParagraph"/>
        <w:numPr>
          <w:ilvl w:val="0"/>
          <w:numId w:val="1"/>
        </w:numPr>
        <w:jc w:val="both"/>
        <w:rPr>
          <w:sz w:val="24"/>
          <w:szCs w:val="24"/>
        </w:rPr>
      </w:pPr>
      <w:r>
        <w:rPr>
          <w:sz w:val="24"/>
          <w:szCs w:val="24"/>
        </w:rPr>
        <w:t>UN</w:t>
      </w:r>
      <w:r w:rsidR="00D84437">
        <w:rPr>
          <w:sz w:val="24"/>
          <w:szCs w:val="24"/>
        </w:rPr>
        <w:t>HCR and WFP should plan</w:t>
      </w:r>
      <w:r>
        <w:rPr>
          <w:sz w:val="24"/>
          <w:szCs w:val="24"/>
        </w:rPr>
        <w:t xml:space="preserve"> to conduct a </w:t>
      </w:r>
      <w:r w:rsidRPr="00767A0A">
        <w:rPr>
          <w:sz w:val="24"/>
          <w:szCs w:val="24"/>
        </w:rPr>
        <w:t xml:space="preserve">Rapid JAM </w:t>
      </w:r>
      <w:r>
        <w:rPr>
          <w:sz w:val="24"/>
          <w:szCs w:val="24"/>
        </w:rPr>
        <w:t xml:space="preserve">which </w:t>
      </w:r>
      <w:r w:rsidRPr="00767A0A">
        <w:rPr>
          <w:sz w:val="24"/>
          <w:szCs w:val="24"/>
        </w:rPr>
        <w:t xml:space="preserve">is a condensed version of the full JAM (done every 2 years) that can be done during the first 6 months of an emergency to assess the food security and nutrition situation (NOT anything else), review the quality and appropriateness of the on-going food security interventions and/or identify new interventions to protect and ensure the food security and nutritional status of refugees.  </w:t>
      </w:r>
    </w:p>
    <w:p w:rsidR="00344521" w:rsidRPr="00767A0A" w:rsidRDefault="00D84437" w:rsidP="00344521">
      <w:pPr>
        <w:pStyle w:val="ListParagraph"/>
        <w:numPr>
          <w:ilvl w:val="0"/>
          <w:numId w:val="1"/>
        </w:numPr>
        <w:jc w:val="both"/>
        <w:rPr>
          <w:sz w:val="24"/>
          <w:szCs w:val="24"/>
        </w:rPr>
      </w:pPr>
      <w:r>
        <w:rPr>
          <w:sz w:val="24"/>
          <w:szCs w:val="24"/>
        </w:rPr>
        <w:t>Nutrition survey in fourth quarter of 2015</w:t>
      </w:r>
      <w:r w:rsidR="00344521" w:rsidRPr="00767A0A">
        <w:rPr>
          <w:sz w:val="24"/>
          <w:szCs w:val="24"/>
        </w:rPr>
        <w:t xml:space="preserve"> </w:t>
      </w:r>
    </w:p>
    <w:p w:rsidR="00EC5456" w:rsidRDefault="00EC5456" w:rsidP="00344521">
      <w:pPr>
        <w:pStyle w:val="Heading2"/>
        <w:numPr>
          <w:ilvl w:val="0"/>
          <w:numId w:val="7"/>
        </w:numPr>
        <w:jc w:val="both"/>
        <w:rPr>
          <w:rFonts w:asciiTheme="minorHAnsi" w:hAnsiTheme="minorHAnsi"/>
          <w:sz w:val="24"/>
          <w:szCs w:val="24"/>
        </w:rPr>
      </w:pPr>
      <w:r>
        <w:rPr>
          <w:rFonts w:asciiTheme="minorHAnsi" w:hAnsiTheme="minorHAnsi"/>
          <w:sz w:val="24"/>
          <w:szCs w:val="24"/>
        </w:rPr>
        <w:t>Monitoring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gridCol w:w="1395"/>
      </w:tblGrid>
      <w:tr w:rsidR="00EC5456" w:rsidRPr="0061357E" w:rsidTr="00201B76">
        <w:tc>
          <w:tcPr>
            <w:tcW w:w="7814" w:type="dxa"/>
            <w:shd w:val="clear" w:color="auto" w:fill="548DD4"/>
          </w:tcPr>
          <w:p w:rsidR="00EC5456" w:rsidRPr="002F244F" w:rsidRDefault="00EC5456" w:rsidP="00D242CF">
            <w:pPr>
              <w:spacing w:after="0" w:line="240" w:lineRule="auto"/>
              <w:jc w:val="both"/>
              <w:rPr>
                <w:rFonts w:cs="Calibri"/>
                <w:b/>
                <w:bCs/>
                <w:color w:val="FFFFFF"/>
                <w:lang w:val="en-CA"/>
              </w:rPr>
            </w:pPr>
            <w:r w:rsidRPr="002F244F">
              <w:rPr>
                <w:rFonts w:cs="Calibri"/>
                <w:b/>
                <w:bCs/>
                <w:color w:val="FFFFFF"/>
                <w:lang w:val="en-CA"/>
              </w:rPr>
              <w:t>Goal</w:t>
            </w:r>
          </w:p>
        </w:tc>
        <w:tc>
          <w:tcPr>
            <w:tcW w:w="1395" w:type="dxa"/>
            <w:shd w:val="clear" w:color="auto" w:fill="548DD4"/>
          </w:tcPr>
          <w:p w:rsidR="00EC5456" w:rsidRPr="002F244F" w:rsidRDefault="00EC5456" w:rsidP="00D242CF">
            <w:pPr>
              <w:spacing w:after="0" w:line="240" w:lineRule="auto"/>
              <w:jc w:val="both"/>
              <w:rPr>
                <w:rFonts w:cs="Calibri"/>
                <w:b/>
                <w:bCs/>
                <w:color w:val="FFFFFF"/>
                <w:lang w:val="en-CA"/>
              </w:rPr>
            </w:pPr>
            <w:r w:rsidRPr="002F244F">
              <w:rPr>
                <w:rFonts w:cs="Calibri"/>
                <w:b/>
                <w:bCs/>
                <w:color w:val="FFFFFF"/>
                <w:lang w:val="en-CA"/>
              </w:rPr>
              <w:t>Target</w:t>
            </w:r>
          </w:p>
        </w:tc>
      </w:tr>
      <w:tr w:rsidR="00EC5456" w:rsidRPr="0061357E" w:rsidTr="00201B76">
        <w:tc>
          <w:tcPr>
            <w:tcW w:w="7814"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Reduce the Crude mortality rate (per/10,000/day)</w:t>
            </w:r>
          </w:p>
        </w:tc>
        <w:tc>
          <w:tcPr>
            <w:tcW w:w="1395"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w:t>
            </w:r>
          </w:p>
        </w:tc>
      </w:tr>
      <w:tr w:rsidR="00EC5456" w:rsidRPr="0061357E" w:rsidTr="00201B76">
        <w:tc>
          <w:tcPr>
            <w:tcW w:w="7814"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Reduce the Under-five mortality rate (per/10,000/day)</w:t>
            </w:r>
          </w:p>
        </w:tc>
        <w:tc>
          <w:tcPr>
            <w:tcW w:w="1395"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2</w:t>
            </w:r>
          </w:p>
        </w:tc>
      </w:tr>
      <w:tr w:rsidR="00EC5456" w:rsidRPr="0061357E" w:rsidTr="00201B76">
        <w:tc>
          <w:tcPr>
            <w:tcW w:w="7814"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Reduce prevalence of global acute malnutrition (% W/H Z-score)</w:t>
            </w:r>
          </w:p>
        </w:tc>
        <w:tc>
          <w:tcPr>
            <w:tcW w:w="1395"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&lt;10.0%</w:t>
            </w:r>
          </w:p>
        </w:tc>
      </w:tr>
    </w:tbl>
    <w:p w:rsidR="00EC5456" w:rsidRDefault="00EC5456" w:rsidP="00EC545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1440"/>
      </w:tblGrid>
      <w:tr w:rsidR="00201B76" w:rsidRPr="0061357E" w:rsidTr="00201B76">
        <w:tc>
          <w:tcPr>
            <w:tcW w:w="7848" w:type="dxa"/>
            <w:shd w:val="clear" w:color="auto" w:fill="548DD4"/>
          </w:tcPr>
          <w:p w:rsidR="00201B76" w:rsidRPr="00201B76" w:rsidRDefault="00201B76" w:rsidP="00D242CF">
            <w:pPr>
              <w:spacing w:after="0" w:line="240" w:lineRule="auto"/>
              <w:jc w:val="both"/>
              <w:rPr>
                <w:rFonts w:cs="Calibri"/>
                <w:b/>
                <w:bCs/>
                <w:lang w:val="en-CA"/>
              </w:rPr>
            </w:pPr>
            <w:r w:rsidRPr="00201B76">
              <w:rPr>
                <w:rFonts w:cs="Calibri"/>
                <w:b/>
                <w:bCs/>
                <w:lang w:val="en-CA"/>
              </w:rPr>
              <w:t>Expected output</w:t>
            </w:r>
          </w:p>
        </w:tc>
        <w:tc>
          <w:tcPr>
            <w:tcW w:w="1440" w:type="dxa"/>
            <w:shd w:val="clear" w:color="auto" w:fill="548DD4"/>
          </w:tcPr>
          <w:p w:rsidR="00201B76" w:rsidRPr="00201B76" w:rsidRDefault="00201B76" w:rsidP="00EC5456">
            <w:pPr>
              <w:spacing w:after="0" w:line="240" w:lineRule="auto"/>
              <w:jc w:val="both"/>
              <w:rPr>
                <w:rFonts w:cs="Calibri"/>
                <w:b/>
                <w:bCs/>
                <w:lang w:val="en-CA"/>
              </w:rPr>
            </w:pPr>
            <w:r w:rsidRPr="00201B76">
              <w:rPr>
                <w:rFonts w:cs="Calibri"/>
                <w:b/>
                <w:bCs/>
                <w:lang w:val="en-CA"/>
              </w:rPr>
              <w:t>Target</w:t>
            </w:r>
          </w:p>
        </w:tc>
      </w:tr>
      <w:tr w:rsidR="00201B76" w:rsidRPr="0061357E" w:rsidTr="00EC4547">
        <w:tc>
          <w:tcPr>
            <w:tcW w:w="9288" w:type="dxa"/>
            <w:gridSpan w:val="2"/>
            <w:shd w:val="clear" w:color="auto" w:fill="8DB3E2"/>
          </w:tcPr>
          <w:p w:rsidR="00201B76" w:rsidRPr="00201B76" w:rsidRDefault="00201B76" w:rsidP="00EC5456">
            <w:pPr>
              <w:spacing w:after="0" w:line="240" w:lineRule="auto"/>
              <w:jc w:val="both"/>
              <w:rPr>
                <w:rFonts w:cs="Calibri"/>
                <w:b/>
                <w:bCs/>
                <w:lang w:val="en-CA"/>
              </w:rPr>
            </w:pPr>
            <w:r w:rsidRPr="00201B76">
              <w:rPr>
                <w:rFonts w:cs="Calibri"/>
                <w:b/>
                <w:bCs/>
                <w:lang w:val="en-CA"/>
              </w:rPr>
              <w:t>Health</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Number of direct beneficiaries from emergency drugs supplies (IEHK/RH kits</w:t>
            </w:r>
            <w:r>
              <w:rPr>
                <w:rFonts w:cs="Calibri"/>
                <w:bCs/>
                <w:lang w:val="en-CA"/>
              </w:rPr>
              <w:t>,</w:t>
            </w:r>
            <w:r w:rsidRPr="0061357E">
              <w:rPr>
                <w:rFonts w:cs="Calibri"/>
                <w:bCs/>
                <w:lang w:val="en-CA"/>
              </w:rPr>
              <w:t xml:space="preserve"> etc</w:t>
            </w:r>
            <w:r>
              <w:rPr>
                <w:rFonts w:cs="Calibri"/>
                <w:bCs/>
                <w:lang w:val="en-CA"/>
              </w:rPr>
              <w:t>.</w:t>
            </w:r>
            <w:r w:rsidRPr="0061357E">
              <w:rPr>
                <w:rFonts w:cs="Calibri"/>
                <w:bCs/>
                <w:lang w:val="en-CA"/>
              </w:rPr>
              <w:t>)</w:t>
            </w:r>
          </w:p>
        </w:tc>
        <w:tc>
          <w:tcPr>
            <w:tcW w:w="1440" w:type="dxa"/>
            <w:shd w:val="clear" w:color="auto" w:fill="auto"/>
          </w:tcPr>
          <w:p w:rsidR="00EC5456" w:rsidRPr="0061357E" w:rsidRDefault="00EC5456" w:rsidP="00EC5456">
            <w:pPr>
              <w:spacing w:after="0" w:line="240" w:lineRule="auto"/>
              <w:jc w:val="both"/>
              <w:rPr>
                <w:rFonts w:cs="Calibri"/>
                <w:bCs/>
                <w:lang w:val="en-CA"/>
              </w:rPr>
            </w:pPr>
            <w:r>
              <w:rPr>
                <w:rFonts w:cs="Calibri"/>
                <w:bCs/>
                <w:lang w:val="en-CA"/>
              </w:rPr>
              <w:t>Camp Pop. #</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Proportion of communicable diseases detected and responded to within 48 hours</w:t>
            </w:r>
          </w:p>
        </w:tc>
        <w:tc>
          <w:tcPr>
            <w:tcW w:w="1440"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100%</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 xml:space="preserve">Proportion of live births at EMOC facility </w:t>
            </w:r>
          </w:p>
        </w:tc>
        <w:tc>
          <w:tcPr>
            <w:tcW w:w="1440"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&gt;90%</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Proportion of births attended by skilled personnel</w:t>
            </w:r>
          </w:p>
        </w:tc>
        <w:tc>
          <w:tcPr>
            <w:tcW w:w="1440"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100%</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Proportion of rape survivors who have been examined and provided Post Exposure</w:t>
            </w:r>
            <w:r>
              <w:rPr>
                <w:rFonts w:cs="Calibri"/>
                <w:bCs/>
                <w:lang w:val="en-CA"/>
              </w:rPr>
              <w:t xml:space="preserve"> Prophylaxis (PEP) within 72hrs</w:t>
            </w:r>
          </w:p>
        </w:tc>
        <w:tc>
          <w:tcPr>
            <w:tcW w:w="1440"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100%</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Proportion of rape survivors who have been examined and provided emergency Co</w:t>
            </w:r>
            <w:r>
              <w:rPr>
                <w:rFonts w:cs="Calibri"/>
                <w:bCs/>
                <w:lang w:val="en-CA"/>
              </w:rPr>
              <w:t>ntraception (EC) within 120 hrs</w:t>
            </w:r>
          </w:p>
        </w:tc>
        <w:tc>
          <w:tcPr>
            <w:tcW w:w="1440"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100%</w:t>
            </w:r>
          </w:p>
        </w:tc>
      </w:tr>
      <w:tr w:rsidR="00EC5456" w:rsidRPr="0061357E" w:rsidTr="00EC5456">
        <w:tc>
          <w:tcPr>
            <w:tcW w:w="7848"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Facilitate universal access to antiretroviral therapy</w:t>
            </w:r>
          </w:p>
        </w:tc>
        <w:tc>
          <w:tcPr>
            <w:tcW w:w="1440" w:type="dxa"/>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90%</w:t>
            </w:r>
          </w:p>
        </w:tc>
      </w:tr>
      <w:tr w:rsidR="00EC5456" w:rsidRPr="0061357E" w:rsidTr="00EC5456">
        <w:tc>
          <w:tcPr>
            <w:tcW w:w="9288" w:type="dxa"/>
            <w:gridSpan w:val="2"/>
            <w:tcBorders>
              <w:top w:val="single" w:sz="4" w:space="0" w:color="auto"/>
              <w:left w:val="single" w:sz="4" w:space="0" w:color="auto"/>
              <w:bottom w:val="single" w:sz="4" w:space="0" w:color="auto"/>
              <w:right w:val="single" w:sz="4" w:space="0" w:color="auto"/>
            </w:tcBorders>
            <w:shd w:val="clear" w:color="auto" w:fill="8DB3E2"/>
          </w:tcPr>
          <w:p w:rsidR="00EC5456" w:rsidRPr="008E21AA" w:rsidRDefault="00EC5456" w:rsidP="00D242CF">
            <w:pPr>
              <w:spacing w:after="0" w:line="240" w:lineRule="auto"/>
              <w:jc w:val="both"/>
              <w:rPr>
                <w:rFonts w:cs="Calibri"/>
                <w:bCs/>
                <w:lang w:val="en-CA"/>
              </w:rPr>
            </w:pPr>
            <w:r w:rsidRPr="008E21AA">
              <w:rPr>
                <w:rFonts w:cs="Calibri"/>
                <w:b/>
                <w:bCs/>
                <w:lang w:val="en-CA"/>
              </w:rPr>
              <w:t>Nu</w:t>
            </w:r>
            <w:r w:rsidRPr="002F244F">
              <w:rPr>
                <w:rFonts w:cs="Calibri"/>
                <w:b/>
                <w:bCs/>
                <w:shd w:val="clear" w:color="auto" w:fill="8DB3E2"/>
                <w:lang w:val="en-CA"/>
              </w:rPr>
              <w:t>trition</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IYCF programmes targeting children 0-24 months established or maintained (yes/no)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100%</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IYCF programmes targeting pregnant and lactating women established or maintained (yes/no)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100%</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Coverage community management of acute malnutrition programmes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&gt;90%</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Written strategy to address anaemia and other micronutrient deficiencies established or maintained (yes/no)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Functional nutritional screening system established or maintained (yes/no)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Pr>
                <w:rFonts w:cs="Calibri"/>
                <w:bCs/>
                <w:lang w:val="en-CA"/>
              </w:rPr>
              <w:t>100%</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Coverage of 6-23 months to blanket supplementary feeding programmes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&gt;90%</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Coverage of 6-59 months to blanket supplementary feeding programmes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&gt;90%</w:t>
            </w:r>
          </w:p>
        </w:tc>
      </w:tr>
      <w:tr w:rsidR="00EC5456" w:rsidRPr="0061357E" w:rsidTr="00EC5456">
        <w:tc>
          <w:tcPr>
            <w:tcW w:w="7848"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 xml:space="preserve">Coverage of pregnant and lactating women targeted for blanket supplementary feeding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C5456" w:rsidRPr="0061357E" w:rsidRDefault="00EC5456" w:rsidP="00D242CF">
            <w:pPr>
              <w:spacing w:after="0" w:line="240" w:lineRule="auto"/>
              <w:jc w:val="both"/>
              <w:rPr>
                <w:rFonts w:cs="Calibri"/>
                <w:bCs/>
                <w:lang w:val="en-CA"/>
              </w:rPr>
            </w:pPr>
            <w:r w:rsidRPr="0061357E">
              <w:rPr>
                <w:rFonts w:cs="Calibri"/>
                <w:bCs/>
                <w:lang w:val="en-CA"/>
              </w:rPr>
              <w:t>&gt;90%</w:t>
            </w:r>
          </w:p>
        </w:tc>
      </w:tr>
      <w:tr w:rsidR="00EC5456" w:rsidRPr="0061357E" w:rsidTr="00EC5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9288" w:type="dxa"/>
            <w:gridSpan w:val="2"/>
            <w:tcBorders>
              <w:top w:val="single" w:sz="4" w:space="0" w:color="auto"/>
              <w:left w:val="single" w:sz="4" w:space="0" w:color="auto"/>
              <w:bottom w:val="single" w:sz="4" w:space="0" w:color="auto"/>
              <w:right w:val="single" w:sz="8" w:space="0" w:color="auto"/>
            </w:tcBorders>
            <w:shd w:val="clear" w:color="auto" w:fill="8DB3E2"/>
            <w:hideMark/>
          </w:tcPr>
          <w:p w:rsidR="00EC5456" w:rsidRPr="008E21AA" w:rsidRDefault="00EC5456" w:rsidP="00D242CF">
            <w:pPr>
              <w:spacing w:after="0" w:line="240" w:lineRule="auto"/>
              <w:rPr>
                <w:rFonts w:eastAsia="Times New Roman" w:cs="Calibri"/>
                <w:b/>
                <w:lang w:val="en-CA"/>
              </w:rPr>
            </w:pPr>
            <w:r w:rsidRPr="008E21AA">
              <w:rPr>
                <w:rFonts w:eastAsia="Times New Roman" w:cs="Calibri"/>
                <w:b/>
                <w:lang w:val="en-CA"/>
              </w:rPr>
              <w:t>Food security</w:t>
            </w:r>
          </w:p>
        </w:tc>
      </w:tr>
      <w:tr w:rsidR="00EC5456" w:rsidRPr="0061357E" w:rsidTr="00EC5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848" w:type="dxa"/>
            <w:tcBorders>
              <w:top w:val="nil"/>
              <w:left w:val="single" w:sz="4" w:space="0" w:color="auto"/>
              <w:bottom w:val="single" w:sz="4" w:space="0" w:color="auto"/>
              <w:right w:val="single" w:sz="8" w:space="0" w:color="auto"/>
            </w:tcBorders>
            <w:hideMark/>
          </w:tcPr>
          <w:p w:rsidR="00EC5456" w:rsidRPr="0061357E" w:rsidRDefault="00EC5456" w:rsidP="00D242CF">
            <w:pPr>
              <w:spacing w:after="0" w:line="240" w:lineRule="auto"/>
              <w:rPr>
                <w:rFonts w:eastAsia="Times New Roman" w:cs="Calibri"/>
                <w:lang w:val="en-CA"/>
              </w:rPr>
            </w:pPr>
            <w:r w:rsidRPr="0061357E">
              <w:rPr>
                <w:rFonts w:eastAsia="Times New Roman" w:cs="Calibri"/>
                <w:lang w:val="en-CA"/>
              </w:rPr>
              <w:t>Proportion of people receiving food aid (in kind)</w:t>
            </w:r>
          </w:p>
        </w:tc>
        <w:tc>
          <w:tcPr>
            <w:tcW w:w="1440" w:type="dxa"/>
            <w:tcBorders>
              <w:top w:val="nil"/>
              <w:left w:val="single" w:sz="4" w:space="0" w:color="auto"/>
              <w:bottom w:val="single" w:sz="4" w:space="0" w:color="auto"/>
              <w:right w:val="single" w:sz="8" w:space="0" w:color="auto"/>
            </w:tcBorders>
            <w:hideMark/>
          </w:tcPr>
          <w:p w:rsidR="00EC5456" w:rsidRPr="0061357E" w:rsidRDefault="00EC5456" w:rsidP="00D242CF">
            <w:pPr>
              <w:spacing w:after="0" w:line="240" w:lineRule="auto"/>
              <w:rPr>
                <w:rFonts w:eastAsia="Times New Roman" w:cs="Calibri"/>
                <w:lang w:val="en-CA"/>
              </w:rPr>
            </w:pPr>
            <w:r w:rsidRPr="0061357E">
              <w:rPr>
                <w:rFonts w:eastAsia="Times New Roman" w:cs="Calibri"/>
                <w:lang w:val="en-CA"/>
              </w:rPr>
              <w:t xml:space="preserve">100% </w:t>
            </w:r>
          </w:p>
        </w:tc>
      </w:tr>
      <w:tr w:rsidR="00EC5456" w:rsidRPr="0061357E" w:rsidTr="00EC5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7848" w:type="dxa"/>
            <w:tcBorders>
              <w:top w:val="single" w:sz="4" w:space="0" w:color="auto"/>
              <w:left w:val="single" w:sz="4" w:space="0" w:color="auto"/>
              <w:bottom w:val="single" w:sz="4" w:space="0" w:color="auto"/>
              <w:right w:val="single" w:sz="4" w:space="0" w:color="auto"/>
            </w:tcBorders>
            <w:hideMark/>
          </w:tcPr>
          <w:p w:rsidR="00EC5456" w:rsidRPr="0061357E" w:rsidRDefault="00EC5456" w:rsidP="00D242CF">
            <w:pPr>
              <w:spacing w:after="0" w:line="240" w:lineRule="auto"/>
              <w:rPr>
                <w:rFonts w:eastAsia="Times New Roman" w:cs="Calibri"/>
                <w:lang w:val="en-CA"/>
              </w:rPr>
            </w:pPr>
            <w:r w:rsidRPr="0061357E">
              <w:rPr>
                <w:rFonts w:eastAsia="Times New Roman" w:cs="Calibri"/>
                <w:lang w:val="en-CA"/>
              </w:rPr>
              <w:t>Average # of Kcals distributed per person per day</w:t>
            </w:r>
          </w:p>
        </w:tc>
        <w:tc>
          <w:tcPr>
            <w:tcW w:w="1440" w:type="dxa"/>
            <w:tcBorders>
              <w:top w:val="single" w:sz="4" w:space="0" w:color="auto"/>
              <w:left w:val="single" w:sz="4" w:space="0" w:color="auto"/>
              <w:bottom w:val="single" w:sz="4" w:space="0" w:color="auto"/>
              <w:right w:val="single" w:sz="4" w:space="0" w:color="auto"/>
            </w:tcBorders>
            <w:hideMark/>
          </w:tcPr>
          <w:p w:rsidR="00EC5456" w:rsidRPr="0061357E" w:rsidRDefault="00EC5456" w:rsidP="00D242CF">
            <w:pPr>
              <w:spacing w:after="0" w:line="240" w:lineRule="auto"/>
              <w:rPr>
                <w:rFonts w:eastAsia="Times New Roman" w:cs="Calibri"/>
                <w:lang w:val="en-CA"/>
              </w:rPr>
            </w:pPr>
            <w:r w:rsidRPr="0061357E">
              <w:rPr>
                <w:rFonts w:eastAsia="Times New Roman" w:cs="Calibri"/>
                <w:lang w:val="en-CA"/>
              </w:rPr>
              <w:t>2100Kcal/p/d</w:t>
            </w:r>
          </w:p>
        </w:tc>
      </w:tr>
    </w:tbl>
    <w:p w:rsidR="00EC5456" w:rsidRDefault="00EC5456" w:rsidP="00EC5456"/>
    <w:p w:rsidR="00344521" w:rsidRPr="00767A0A" w:rsidRDefault="00344521" w:rsidP="00344521">
      <w:pPr>
        <w:pStyle w:val="Heading2"/>
        <w:numPr>
          <w:ilvl w:val="0"/>
          <w:numId w:val="7"/>
        </w:numPr>
        <w:jc w:val="both"/>
        <w:rPr>
          <w:rFonts w:asciiTheme="minorHAnsi" w:hAnsiTheme="minorHAnsi"/>
          <w:sz w:val="24"/>
          <w:szCs w:val="24"/>
        </w:rPr>
      </w:pPr>
      <w:r w:rsidRPr="00767A0A">
        <w:rPr>
          <w:rFonts w:asciiTheme="minorHAnsi" w:hAnsiTheme="minorHAnsi"/>
          <w:sz w:val="24"/>
          <w:szCs w:val="24"/>
        </w:rPr>
        <w:lastRenderedPageBreak/>
        <w:t>Services and standards</w:t>
      </w:r>
    </w:p>
    <w:p w:rsidR="00344521" w:rsidRPr="00767A0A" w:rsidRDefault="00344521" w:rsidP="00344521">
      <w:pPr>
        <w:pStyle w:val="Heading3"/>
        <w:rPr>
          <w:rFonts w:asciiTheme="minorHAnsi" w:hAnsiTheme="minorHAnsi"/>
          <w:sz w:val="24"/>
          <w:szCs w:val="24"/>
        </w:rPr>
      </w:pPr>
      <w:r w:rsidRPr="00767A0A">
        <w:rPr>
          <w:rFonts w:asciiTheme="minorHAnsi" w:hAnsiTheme="minorHAnsi"/>
          <w:sz w:val="24"/>
          <w:szCs w:val="24"/>
        </w:rPr>
        <w:t>Health facility</w:t>
      </w:r>
    </w:p>
    <w:tbl>
      <w:tblPr>
        <w:tblStyle w:val="TableGrid"/>
        <w:tblW w:w="0" w:type="auto"/>
        <w:tblInd w:w="198" w:type="dxa"/>
        <w:tblLook w:val="04A0" w:firstRow="1" w:lastRow="0" w:firstColumn="1" w:lastColumn="0" w:noHBand="0" w:noVBand="1"/>
      </w:tblPr>
      <w:tblGrid>
        <w:gridCol w:w="9044"/>
      </w:tblGrid>
      <w:tr w:rsidR="005525D8" w:rsidTr="00195152">
        <w:tc>
          <w:tcPr>
            <w:tcW w:w="9044" w:type="dxa"/>
          </w:tcPr>
          <w:p w:rsidR="005525D8" w:rsidRPr="005525D8" w:rsidRDefault="005525D8" w:rsidP="005525D8">
            <w:pPr>
              <w:pStyle w:val="ListParagraph"/>
              <w:numPr>
                <w:ilvl w:val="0"/>
                <w:numId w:val="10"/>
              </w:numPr>
              <w:shd w:val="clear" w:color="auto" w:fill="FFFFFF"/>
              <w:spacing w:before="100" w:beforeAutospacing="1" w:after="100" w:afterAutospacing="1" w:line="384" w:lineRule="atLeast"/>
              <w:jc w:val="both"/>
              <w:rPr>
                <w:rFonts w:eastAsia="Times New Roman" w:cs="Times New Roman"/>
                <w:spacing w:val="2"/>
                <w:sz w:val="24"/>
                <w:szCs w:val="24"/>
                <w:lang w:eastAsia="en-GB"/>
              </w:rPr>
            </w:pPr>
            <w:r w:rsidRPr="005525D8">
              <w:rPr>
                <w:rFonts w:eastAsia="Times New Roman" w:cs="Times New Roman"/>
                <w:spacing w:val="2"/>
                <w:sz w:val="24"/>
                <w:szCs w:val="24"/>
                <w:lang w:eastAsia="en-GB"/>
              </w:rPr>
              <w:t>At least one basic health unit is available for every 10,000 people. (Basic health units are primary healthcare facilities that offer essential health services.)</w:t>
            </w:r>
          </w:p>
          <w:p w:rsidR="005525D8" w:rsidRPr="005525D8" w:rsidRDefault="005525D8" w:rsidP="005525D8">
            <w:pPr>
              <w:pStyle w:val="ListParagraph"/>
              <w:numPr>
                <w:ilvl w:val="0"/>
                <w:numId w:val="10"/>
              </w:numPr>
              <w:shd w:val="clear" w:color="auto" w:fill="FFFFFF"/>
              <w:spacing w:before="100" w:beforeAutospacing="1" w:after="100" w:afterAutospacing="1" w:line="384" w:lineRule="atLeast"/>
              <w:jc w:val="both"/>
              <w:rPr>
                <w:rFonts w:eastAsia="Times New Roman" w:cs="Times New Roman"/>
                <w:spacing w:val="2"/>
                <w:sz w:val="24"/>
                <w:szCs w:val="24"/>
                <w:lang w:eastAsia="en-GB"/>
              </w:rPr>
            </w:pPr>
            <w:r w:rsidRPr="005525D8">
              <w:rPr>
                <w:rFonts w:eastAsia="Times New Roman" w:cs="Times New Roman"/>
                <w:spacing w:val="2"/>
                <w:sz w:val="24"/>
                <w:szCs w:val="24"/>
                <w:lang w:eastAsia="en-GB"/>
              </w:rPr>
              <w:t>At least one health centre is available for every 50,000 people.</w:t>
            </w:r>
          </w:p>
          <w:p w:rsidR="005525D8" w:rsidRPr="005525D8" w:rsidRDefault="005525D8" w:rsidP="005525D8">
            <w:pPr>
              <w:pStyle w:val="ListParagraph"/>
              <w:numPr>
                <w:ilvl w:val="0"/>
                <w:numId w:val="10"/>
              </w:numPr>
              <w:shd w:val="clear" w:color="auto" w:fill="FFFFFF"/>
              <w:spacing w:before="100" w:beforeAutospacing="1" w:after="100" w:afterAutospacing="1" w:line="384" w:lineRule="atLeast"/>
              <w:jc w:val="both"/>
              <w:rPr>
                <w:rFonts w:eastAsia="Times New Roman" w:cs="Times New Roman"/>
                <w:spacing w:val="2"/>
                <w:sz w:val="24"/>
                <w:szCs w:val="24"/>
                <w:lang w:eastAsia="en-GB"/>
              </w:rPr>
            </w:pPr>
            <w:r w:rsidRPr="005525D8">
              <w:rPr>
                <w:rFonts w:eastAsia="Times New Roman" w:cs="Times New Roman"/>
                <w:spacing w:val="2"/>
                <w:sz w:val="24"/>
                <w:szCs w:val="24"/>
                <w:lang w:eastAsia="en-GB"/>
              </w:rPr>
              <w:t>At least one district or rural hospital is available for every 250,000 people.</w:t>
            </w:r>
          </w:p>
          <w:p w:rsidR="005525D8" w:rsidRPr="005525D8" w:rsidRDefault="005525D8" w:rsidP="005525D8">
            <w:pPr>
              <w:pStyle w:val="ListParagraph"/>
              <w:numPr>
                <w:ilvl w:val="0"/>
                <w:numId w:val="10"/>
              </w:numPr>
              <w:shd w:val="clear" w:color="auto" w:fill="FFFFFF"/>
              <w:spacing w:before="100" w:beforeAutospacing="1" w:after="100" w:afterAutospacing="1" w:line="384" w:lineRule="atLeast"/>
              <w:jc w:val="both"/>
              <w:rPr>
                <w:rFonts w:ascii="Helvetica" w:eastAsia="Times New Roman" w:hAnsi="Helvetica" w:cs="Times New Roman"/>
                <w:spacing w:val="2"/>
                <w:sz w:val="24"/>
                <w:szCs w:val="24"/>
                <w:lang w:eastAsia="en-GB"/>
              </w:rPr>
            </w:pPr>
            <w:r w:rsidRPr="005525D8">
              <w:rPr>
                <w:rFonts w:eastAsia="Times New Roman" w:cs="Times New Roman"/>
                <w:spacing w:val="2"/>
                <w:sz w:val="24"/>
                <w:szCs w:val="24"/>
                <w:lang w:eastAsia="en-GB"/>
              </w:rPr>
              <w:t>More than 10 in-patient and maternity beds are available for every 10,000 people.</w:t>
            </w:r>
          </w:p>
        </w:tc>
      </w:tr>
    </w:tbl>
    <w:p w:rsidR="005525D8" w:rsidRDefault="005525D8" w:rsidP="005525D8">
      <w:pPr>
        <w:pStyle w:val="ListParagraph"/>
        <w:jc w:val="both"/>
        <w:rPr>
          <w:sz w:val="24"/>
          <w:szCs w:val="24"/>
        </w:rPr>
      </w:pPr>
    </w:p>
    <w:p w:rsidR="00344521" w:rsidRPr="00767A0A" w:rsidRDefault="00344521" w:rsidP="00344521">
      <w:pPr>
        <w:pStyle w:val="ListParagraph"/>
        <w:numPr>
          <w:ilvl w:val="0"/>
          <w:numId w:val="2"/>
        </w:numPr>
        <w:jc w:val="both"/>
        <w:rPr>
          <w:sz w:val="24"/>
          <w:szCs w:val="24"/>
        </w:rPr>
      </w:pPr>
      <w:r w:rsidRPr="00767A0A">
        <w:rPr>
          <w:sz w:val="24"/>
          <w:szCs w:val="24"/>
        </w:rPr>
        <w:t>At entry points and transit centres, set up an emergency clinic. The minimum services it should have include OPD, nutrition treatment, emergency delivery room and dressing room. Plan for referral to nearest government hospital for all emergency deliveries and complicated medical conditions needing admission or specialist care.</w:t>
      </w:r>
    </w:p>
    <w:p w:rsidR="00344521" w:rsidRPr="00767A0A" w:rsidRDefault="00344521" w:rsidP="00344521">
      <w:pPr>
        <w:pStyle w:val="ListParagraph"/>
        <w:numPr>
          <w:ilvl w:val="0"/>
          <w:numId w:val="2"/>
        </w:numPr>
        <w:jc w:val="both"/>
        <w:rPr>
          <w:sz w:val="24"/>
          <w:szCs w:val="24"/>
        </w:rPr>
      </w:pPr>
      <w:r w:rsidRPr="00767A0A">
        <w:rPr>
          <w:sz w:val="24"/>
          <w:szCs w:val="24"/>
        </w:rPr>
        <w:t>In emergencies with high acute malnutrition levels and depending on how long refugees stay at border or transit centres (more than 3 days), a nutrition centre may need to be constructed including OTP, SFP and BSFP (context specific, consult senior nutrition officer at regional or HQ level).</w:t>
      </w:r>
    </w:p>
    <w:p w:rsidR="00344521" w:rsidRPr="00E73E77" w:rsidRDefault="00344521" w:rsidP="00344521">
      <w:pPr>
        <w:pStyle w:val="ListParagraph"/>
        <w:numPr>
          <w:ilvl w:val="0"/>
          <w:numId w:val="2"/>
        </w:numPr>
        <w:jc w:val="both"/>
        <w:rPr>
          <w:sz w:val="24"/>
          <w:szCs w:val="24"/>
        </w:rPr>
      </w:pPr>
      <w:r w:rsidRPr="00767A0A">
        <w:rPr>
          <w:sz w:val="24"/>
          <w:szCs w:val="24"/>
        </w:rPr>
        <w:t xml:space="preserve">At the camp </w:t>
      </w:r>
      <w:r>
        <w:rPr>
          <w:sz w:val="24"/>
          <w:szCs w:val="24"/>
        </w:rPr>
        <w:t xml:space="preserve">for the emergency phase, </w:t>
      </w:r>
      <w:r w:rsidRPr="00767A0A">
        <w:rPr>
          <w:sz w:val="24"/>
          <w:szCs w:val="24"/>
        </w:rPr>
        <w:t>plan for health centre with OPD, IPD, EPI, B</w:t>
      </w:r>
      <w:r>
        <w:rPr>
          <w:sz w:val="24"/>
          <w:szCs w:val="24"/>
        </w:rPr>
        <w:t>Em</w:t>
      </w:r>
      <w:r w:rsidRPr="00767A0A">
        <w:rPr>
          <w:sz w:val="24"/>
          <w:szCs w:val="24"/>
        </w:rPr>
        <w:t>ONC, nutrition treatment centre, pharmacy, laboratory, isolation room</w:t>
      </w:r>
      <w:r>
        <w:rPr>
          <w:sz w:val="24"/>
          <w:szCs w:val="24"/>
        </w:rPr>
        <w:t xml:space="preserve">. </w:t>
      </w:r>
      <w:r w:rsidRPr="00E73E77">
        <w:rPr>
          <w:sz w:val="24"/>
          <w:szCs w:val="24"/>
        </w:rPr>
        <w:t xml:space="preserve"> </w:t>
      </w:r>
    </w:p>
    <w:p w:rsidR="00344521" w:rsidRPr="00767A0A" w:rsidRDefault="00344521" w:rsidP="00344521">
      <w:pPr>
        <w:pStyle w:val="ListParagraph"/>
        <w:numPr>
          <w:ilvl w:val="0"/>
          <w:numId w:val="2"/>
        </w:numPr>
        <w:jc w:val="both"/>
        <w:rPr>
          <w:sz w:val="24"/>
          <w:szCs w:val="24"/>
        </w:rPr>
      </w:pPr>
      <w:r w:rsidRPr="00767A0A">
        <w:rPr>
          <w:sz w:val="24"/>
          <w:szCs w:val="24"/>
        </w:rPr>
        <w:t xml:space="preserve">Always remember to construct the health centre at a more central part of the camp to ensure improved access. In addition plan for and construct </w:t>
      </w:r>
      <w:r>
        <w:rPr>
          <w:sz w:val="24"/>
          <w:szCs w:val="24"/>
        </w:rPr>
        <w:t xml:space="preserve">decentralized </w:t>
      </w:r>
      <w:r w:rsidRPr="00767A0A">
        <w:rPr>
          <w:sz w:val="24"/>
          <w:szCs w:val="24"/>
        </w:rPr>
        <w:t>health posts as needed (aim for 1 health facility per 10,000, depend</w:t>
      </w:r>
      <w:r>
        <w:rPr>
          <w:sz w:val="24"/>
          <w:szCs w:val="24"/>
        </w:rPr>
        <w:t>ing</w:t>
      </w:r>
      <w:r w:rsidRPr="00767A0A">
        <w:rPr>
          <w:sz w:val="24"/>
          <w:szCs w:val="24"/>
        </w:rPr>
        <w:t xml:space="preserve"> on camp layout).</w:t>
      </w:r>
    </w:p>
    <w:p w:rsidR="00344521" w:rsidRDefault="00344521" w:rsidP="00344521">
      <w:pPr>
        <w:pStyle w:val="ListParagraph"/>
        <w:numPr>
          <w:ilvl w:val="0"/>
          <w:numId w:val="2"/>
        </w:numPr>
        <w:jc w:val="both"/>
        <w:rPr>
          <w:sz w:val="24"/>
          <w:szCs w:val="24"/>
        </w:rPr>
      </w:pPr>
      <w:r w:rsidRPr="00767A0A">
        <w:rPr>
          <w:sz w:val="24"/>
          <w:szCs w:val="24"/>
        </w:rPr>
        <w:t>The minimum services at health posts includ</w:t>
      </w:r>
      <w:r>
        <w:rPr>
          <w:sz w:val="24"/>
          <w:szCs w:val="24"/>
        </w:rPr>
        <w:t xml:space="preserve">e OPD, EPI, emergency delivery, </w:t>
      </w:r>
      <w:r w:rsidRPr="00767A0A">
        <w:rPr>
          <w:sz w:val="24"/>
          <w:szCs w:val="24"/>
        </w:rPr>
        <w:t>disp</w:t>
      </w:r>
      <w:r w:rsidR="00310693">
        <w:rPr>
          <w:sz w:val="24"/>
          <w:szCs w:val="24"/>
        </w:rPr>
        <w:t xml:space="preserve">ensary, </w:t>
      </w:r>
      <w:r w:rsidRPr="00767A0A">
        <w:rPr>
          <w:sz w:val="24"/>
          <w:szCs w:val="24"/>
        </w:rPr>
        <w:t>nutrition treatment.</w:t>
      </w:r>
    </w:p>
    <w:p w:rsidR="00344521" w:rsidRPr="00767A0A" w:rsidRDefault="00344521" w:rsidP="00344521">
      <w:pPr>
        <w:pStyle w:val="ListParagraph"/>
        <w:numPr>
          <w:ilvl w:val="0"/>
          <w:numId w:val="2"/>
        </w:numPr>
        <w:jc w:val="both"/>
        <w:rPr>
          <w:sz w:val="24"/>
          <w:szCs w:val="24"/>
        </w:rPr>
      </w:pPr>
      <w:r w:rsidRPr="00767A0A">
        <w:rPr>
          <w:sz w:val="24"/>
          <w:szCs w:val="24"/>
        </w:rPr>
        <w:t xml:space="preserve">For rural dispersed settings or urban locations, promote integration of services with national program and coordinate closely with </w:t>
      </w:r>
      <w:r w:rsidR="000C27DE">
        <w:rPr>
          <w:sz w:val="24"/>
          <w:szCs w:val="24"/>
        </w:rPr>
        <w:t>Tanzania M</w:t>
      </w:r>
      <w:r w:rsidRPr="00767A0A">
        <w:rPr>
          <w:sz w:val="24"/>
          <w:szCs w:val="24"/>
        </w:rPr>
        <w:t>inistr</w:t>
      </w:r>
      <w:r w:rsidR="000C27DE">
        <w:rPr>
          <w:sz w:val="24"/>
          <w:szCs w:val="24"/>
        </w:rPr>
        <w:t>y</w:t>
      </w:r>
      <w:r w:rsidRPr="00767A0A">
        <w:rPr>
          <w:sz w:val="24"/>
          <w:szCs w:val="24"/>
        </w:rPr>
        <w:t xml:space="preserve"> of health</w:t>
      </w:r>
      <w:r w:rsidR="000C27DE">
        <w:rPr>
          <w:sz w:val="24"/>
          <w:szCs w:val="24"/>
        </w:rPr>
        <w:t>, Regional medical officers</w:t>
      </w:r>
      <w:r w:rsidRPr="00767A0A">
        <w:rPr>
          <w:sz w:val="24"/>
          <w:szCs w:val="24"/>
        </w:rPr>
        <w:t xml:space="preserve"> and </w:t>
      </w:r>
      <w:r w:rsidR="000C27DE">
        <w:rPr>
          <w:sz w:val="24"/>
          <w:szCs w:val="24"/>
        </w:rPr>
        <w:t xml:space="preserve">Ministry of </w:t>
      </w:r>
      <w:r w:rsidRPr="00767A0A">
        <w:rPr>
          <w:sz w:val="24"/>
          <w:szCs w:val="24"/>
        </w:rPr>
        <w:t xml:space="preserve">water and </w:t>
      </w:r>
      <w:r w:rsidR="000C27DE">
        <w:rPr>
          <w:sz w:val="24"/>
          <w:szCs w:val="24"/>
        </w:rPr>
        <w:t xml:space="preserve">with </w:t>
      </w:r>
      <w:r w:rsidRPr="00767A0A">
        <w:rPr>
          <w:sz w:val="24"/>
          <w:szCs w:val="24"/>
        </w:rPr>
        <w:t>support from UN and other partners to ensure equitable access to services for all refugees as for nationals.</w:t>
      </w:r>
    </w:p>
    <w:p w:rsidR="00344521" w:rsidRPr="00767A0A" w:rsidRDefault="00310693" w:rsidP="00344521">
      <w:pPr>
        <w:pStyle w:val="Heading3"/>
        <w:rPr>
          <w:rFonts w:asciiTheme="minorHAnsi" w:hAnsiTheme="minorHAnsi"/>
          <w:sz w:val="24"/>
          <w:szCs w:val="24"/>
        </w:rPr>
      </w:pPr>
      <w:r>
        <w:rPr>
          <w:rFonts w:asciiTheme="minorHAnsi" w:hAnsiTheme="minorHAnsi"/>
          <w:sz w:val="24"/>
          <w:szCs w:val="24"/>
        </w:rPr>
        <w:t>Surveillance</w:t>
      </w:r>
    </w:p>
    <w:p w:rsidR="00310693" w:rsidRPr="00767A0A" w:rsidRDefault="000C27DE" w:rsidP="000C27DE">
      <w:pPr>
        <w:pStyle w:val="ListParagraph"/>
        <w:numPr>
          <w:ilvl w:val="0"/>
          <w:numId w:val="4"/>
        </w:numPr>
        <w:jc w:val="both"/>
        <w:rPr>
          <w:sz w:val="24"/>
          <w:szCs w:val="24"/>
        </w:rPr>
      </w:pPr>
      <w:r>
        <w:rPr>
          <w:sz w:val="24"/>
          <w:szCs w:val="24"/>
        </w:rPr>
        <w:t>Health screening and including malnutrition</w:t>
      </w:r>
      <w:r w:rsidR="00310693" w:rsidRPr="00767A0A">
        <w:rPr>
          <w:sz w:val="24"/>
          <w:szCs w:val="24"/>
        </w:rPr>
        <w:t xml:space="preserve">, measles and polio vaccination, and basic disease surveillance systems </w:t>
      </w:r>
      <w:r>
        <w:rPr>
          <w:sz w:val="24"/>
          <w:szCs w:val="24"/>
        </w:rPr>
        <w:t>have been established at the transit locations and in the camp</w:t>
      </w:r>
      <w:r w:rsidR="00310693" w:rsidRPr="00767A0A">
        <w:rPr>
          <w:sz w:val="24"/>
          <w:szCs w:val="24"/>
        </w:rPr>
        <w:t>.</w:t>
      </w:r>
    </w:p>
    <w:p w:rsidR="00BC5EB6" w:rsidRDefault="00BC5EB6" w:rsidP="00310693">
      <w:pPr>
        <w:pStyle w:val="ListParagraph"/>
        <w:numPr>
          <w:ilvl w:val="0"/>
          <w:numId w:val="4"/>
        </w:numPr>
        <w:jc w:val="both"/>
        <w:rPr>
          <w:sz w:val="24"/>
          <w:szCs w:val="24"/>
        </w:rPr>
      </w:pPr>
      <w:r>
        <w:rPr>
          <w:sz w:val="24"/>
          <w:szCs w:val="24"/>
        </w:rPr>
        <w:t>Cholera remains the top disease of outbreak potential following recent cholera outbreak in May among refugees and Tanzanians. No new case has been reported among refugees since 5</w:t>
      </w:r>
      <w:r w:rsidRPr="00BC5EB6">
        <w:rPr>
          <w:sz w:val="24"/>
          <w:szCs w:val="24"/>
          <w:vertAlign w:val="superscript"/>
        </w:rPr>
        <w:t>th</w:t>
      </w:r>
      <w:r>
        <w:rPr>
          <w:sz w:val="24"/>
          <w:szCs w:val="24"/>
        </w:rPr>
        <w:t xml:space="preserve"> June 2015.</w:t>
      </w:r>
    </w:p>
    <w:p w:rsidR="00310693" w:rsidRPr="00767A0A" w:rsidRDefault="000C27DE" w:rsidP="00310693">
      <w:pPr>
        <w:pStyle w:val="ListParagraph"/>
        <w:numPr>
          <w:ilvl w:val="0"/>
          <w:numId w:val="4"/>
        </w:numPr>
        <w:jc w:val="both"/>
        <w:rPr>
          <w:sz w:val="24"/>
          <w:szCs w:val="24"/>
        </w:rPr>
      </w:pPr>
      <w:r>
        <w:rPr>
          <w:sz w:val="24"/>
          <w:szCs w:val="24"/>
        </w:rPr>
        <w:t>A</w:t>
      </w:r>
      <w:r w:rsidR="00310693" w:rsidRPr="00767A0A">
        <w:rPr>
          <w:sz w:val="24"/>
          <w:szCs w:val="24"/>
        </w:rPr>
        <w:t xml:space="preserve"> </w:t>
      </w:r>
      <w:r>
        <w:rPr>
          <w:sz w:val="24"/>
          <w:szCs w:val="24"/>
        </w:rPr>
        <w:t xml:space="preserve">national </w:t>
      </w:r>
      <w:r w:rsidR="00310693">
        <w:rPr>
          <w:sz w:val="24"/>
          <w:szCs w:val="24"/>
        </w:rPr>
        <w:t>Epidemic Preparedness and Response (</w:t>
      </w:r>
      <w:r w:rsidR="00310693" w:rsidRPr="00767A0A">
        <w:rPr>
          <w:sz w:val="24"/>
          <w:szCs w:val="24"/>
        </w:rPr>
        <w:t>EPR</w:t>
      </w:r>
      <w:r w:rsidR="00310693">
        <w:rPr>
          <w:sz w:val="24"/>
          <w:szCs w:val="24"/>
        </w:rPr>
        <w:t>)</w:t>
      </w:r>
      <w:r w:rsidR="00310693" w:rsidRPr="00767A0A">
        <w:rPr>
          <w:sz w:val="24"/>
          <w:szCs w:val="24"/>
        </w:rPr>
        <w:t xml:space="preserve"> plan for </w:t>
      </w:r>
      <w:r>
        <w:rPr>
          <w:sz w:val="24"/>
          <w:szCs w:val="24"/>
        </w:rPr>
        <w:t>Cholera is available and an operational plan for the refugee emergency has been developed.</w:t>
      </w:r>
    </w:p>
    <w:p w:rsidR="00344521" w:rsidRDefault="00344521" w:rsidP="00344521">
      <w:pPr>
        <w:pStyle w:val="Heading3"/>
        <w:rPr>
          <w:rFonts w:asciiTheme="minorHAnsi" w:hAnsiTheme="minorHAnsi"/>
          <w:sz w:val="24"/>
          <w:szCs w:val="24"/>
          <w:lang w:val="en-CA"/>
        </w:rPr>
      </w:pPr>
      <w:r>
        <w:rPr>
          <w:rFonts w:asciiTheme="minorHAnsi" w:hAnsiTheme="minorHAnsi"/>
          <w:sz w:val="24"/>
          <w:szCs w:val="24"/>
          <w:lang w:val="en-CA"/>
        </w:rPr>
        <w:lastRenderedPageBreak/>
        <w:t xml:space="preserve">Recommended </w:t>
      </w:r>
      <w:r w:rsidRPr="00767A0A">
        <w:rPr>
          <w:rFonts w:asciiTheme="minorHAnsi" w:hAnsiTheme="minorHAnsi"/>
          <w:sz w:val="24"/>
          <w:szCs w:val="24"/>
          <w:lang w:val="en-CA"/>
        </w:rPr>
        <w:t xml:space="preserve">Key Health Interventions at </w:t>
      </w:r>
      <w:r>
        <w:rPr>
          <w:rFonts w:asciiTheme="minorHAnsi" w:hAnsiTheme="minorHAnsi"/>
          <w:sz w:val="24"/>
          <w:szCs w:val="24"/>
          <w:lang w:val="en-CA"/>
        </w:rPr>
        <w:t>Way Station</w:t>
      </w:r>
      <w:r w:rsidRPr="00767A0A">
        <w:rPr>
          <w:rFonts w:asciiTheme="minorHAnsi" w:hAnsiTheme="minorHAnsi"/>
          <w:sz w:val="24"/>
          <w:szCs w:val="24"/>
          <w:lang w:val="en-CA"/>
        </w:rPr>
        <w:t xml:space="preserve"> </w:t>
      </w:r>
    </w:p>
    <w:p w:rsidR="00344521" w:rsidRDefault="00344521" w:rsidP="00344521">
      <w:pPr>
        <w:rPr>
          <w:lang w:val="en-US"/>
        </w:rPr>
      </w:pPr>
      <w:r w:rsidRPr="00A32E8F">
        <w:rPr>
          <w:b/>
          <w:color w:val="FF0000"/>
          <w:lang w:val="en-CA"/>
        </w:rPr>
        <w:t>NOTE:</w:t>
      </w:r>
      <w:r w:rsidRPr="00A32E8F">
        <w:rPr>
          <w:b/>
          <w:lang w:val="en-CA"/>
        </w:rPr>
        <w:t xml:space="preserve"> </w:t>
      </w:r>
      <w:r w:rsidRPr="001F1D65">
        <w:rPr>
          <w:lang w:val="en-CA"/>
        </w:rPr>
        <w:t>At way stations we should support the dispensaries to only provide emergency health services and referral of critically ill.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2673"/>
        <w:gridCol w:w="3359"/>
      </w:tblGrid>
      <w:tr w:rsidR="00344521" w:rsidRPr="00A32E8F" w:rsidTr="00F87216">
        <w:tc>
          <w:tcPr>
            <w:tcW w:w="1737" w:type="pct"/>
            <w:shd w:val="clear" w:color="auto" w:fill="548DD4"/>
            <w:vAlign w:val="bottom"/>
          </w:tcPr>
          <w:p w:rsidR="00344521" w:rsidRPr="00A32E8F" w:rsidRDefault="00344521" w:rsidP="00F87216">
            <w:pPr>
              <w:spacing w:before="240" w:after="120" w:line="240" w:lineRule="auto"/>
              <w:rPr>
                <w:rFonts w:cs="Calibri"/>
                <w:b/>
                <w:color w:val="FFFFFF"/>
                <w:lang w:val="en-CA"/>
              </w:rPr>
            </w:pPr>
            <w:r w:rsidRPr="00A32E8F">
              <w:rPr>
                <w:rFonts w:cs="Calibri"/>
                <w:b/>
                <w:color w:val="FFFFFF"/>
                <w:lang w:val="en-CA"/>
              </w:rPr>
              <w:t>KEY INTERVENTION</w:t>
            </w:r>
          </w:p>
        </w:tc>
        <w:tc>
          <w:tcPr>
            <w:tcW w:w="1446" w:type="pct"/>
            <w:shd w:val="clear" w:color="auto" w:fill="548DD4"/>
            <w:vAlign w:val="bottom"/>
          </w:tcPr>
          <w:p w:rsidR="00344521" w:rsidRPr="00A32E8F" w:rsidRDefault="00344521" w:rsidP="00F87216">
            <w:pPr>
              <w:spacing w:before="240" w:after="120" w:line="240" w:lineRule="auto"/>
              <w:rPr>
                <w:rFonts w:cs="Calibri"/>
                <w:b/>
                <w:color w:val="FFFFFF"/>
                <w:lang w:val="en-CA"/>
              </w:rPr>
            </w:pPr>
            <w:r w:rsidRPr="00A32E8F">
              <w:rPr>
                <w:rFonts w:cs="Calibri"/>
                <w:b/>
                <w:color w:val="FFFFFF"/>
                <w:lang w:val="en-CA"/>
              </w:rPr>
              <w:t>TARGET GROUP</w:t>
            </w:r>
          </w:p>
        </w:tc>
        <w:tc>
          <w:tcPr>
            <w:tcW w:w="1817" w:type="pct"/>
            <w:shd w:val="clear" w:color="auto" w:fill="548DD4"/>
            <w:vAlign w:val="bottom"/>
          </w:tcPr>
          <w:p w:rsidR="00344521" w:rsidRPr="00A32E8F" w:rsidRDefault="00344521" w:rsidP="00F87216">
            <w:pPr>
              <w:spacing w:before="240" w:after="120" w:line="240" w:lineRule="auto"/>
              <w:rPr>
                <w:rFonts w:cs="Calibri"/>
                <w:b/>
                <w:color w:val="FFFFFF"/>
                <w:lang w:val="en-CA"/>
              </w:rPr>
            </w:pPr>
            <w:r w:rsidRPr="00A32E8F">
              <w:rPr>
                <w:rFonts w:cs="Calibri"/>
                <w:b/>
                <w:color w:val="FFFFFF"/>
                <w:lang w:val="en-CA"/>
              </w:rPr>
              <w:t>REMARK</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Emergency clinic and disease surveillance</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24 hour emergency treatment/referral</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Vaccination (refer to annex 2 below)</w:t>
            </w:r>
          </w:p>
        </w:tc>
        <w:tc>
          <w:tcPr>
            <w:tcW w:w="1446"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All children under 15 years</w:t>
            </w:r>
          </w:p>
        </w:tc>
        <w:tc>
          <w:tcPr>
            <w:tcW w:w="1817"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If refugees stay longer than three days</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Ambulance service</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24 hour emergency referral</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Outbreak disease control and surveillance</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Prevention / Preparation activities for any outbreak ( Ensure there is EPR Plan)</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Support  local government health facilities with medicines, medical supplies/equipment</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Local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Support integration of services with MOH in line with UNHCR policy &amp; consideration of local context (consult experts in HQ/Reg)</w:t>
            </w:r>
          </w:p>
        </w:tc>
      </w:tr>
      <w:tr w:rsidR="00344521" w:rsidRPr="00A32E8F" w:rsidTr="00F87216">
        <w:tc>
          <w:tcPr>
            <w:tcW w:w="500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44521" w:rsidRPr="00A32E8F" w:rsidRDefault="00344521" w:rsidP="00F87216">
            <w:pPr>
              <w:spacing w:before="120" w:after="120" w:line="240" w:lineRule="auto"/>
              <w:jc w:val="center"/>
              <w:rPr>
                <w:rFonts w:cs="Calibri"/>
                <w:b/>
                <w:lang w:val="en-CA"/>
              </w:rPr>
            </w:pPr>
            <w:r w:rsidRPr="00A32E8F">
              <w:rPr>
                <w:rFonts w:cs="Calibri"/>
                <w:b/>
                <w:lang w:val="en-CA"/>
              </w:rPr>
              <w:t>Nutrition</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Rapid Nutritional Assessment (MUAC and oedema) (next to registration desk)</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To all asylum seeker</w:t>
            </w:r>
            <w:r>
              <w:rPr>
                <w:rFonts w:cs="Calibri"/>
                <w:lang w:val="en-CA"/>
              </w:rPr>
              <w:t>/refugees</w:t>
            </w:r>
            <w:r w:rsidRPr="00A32E8F">
              <w:rPr>
                <w:rFonts w:cs="Calibri"/>
                <w:lang w:val="en-CA"/>
              </w:rPr>
              <w:t xml:space="preserve">  under five children</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MUAC screening done at the registration points with SAM and MAM cases prioritized, registered and referred</w:t>
            </w:r>
          </w:p>
        </w:tc>
      </w:tr>
      <w:tr w:rsidR="00344521" w:rsidRPr="00A32E8F" w:rsidTr="00F87216">
        <w:tc>
          <w:tcPr>
            <w:tcW w:w="500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44521" w:rsidRPr="00A32E8F" w:rsidRDefault="00344521" w:rsidP="00F87216">
            <w:pPr>
              <w:spacing w:before="120" w:after="120" w:line="240" w:lineRule="auto"/>
              <w:jc w:val="center"/>
              <w:rPr>
                <w:rFonts w:cs="Calibri"/>
                <w:b/>
                <w:lang w:val="en-CA"/>
              </w:rPr>
            </w:pPr>
            <w:r w:rsidRPr="00A32E8F">
              <w:rPr>
                <w:rFonts w:cs="Calibri"/>
                <w:b/>
                <w:lang w:val="en-CA"/>
              </w:rPr>
              <w:t>Food Security</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High Energy Biscuit (HEB)</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New arrivals before being registered and relocated</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This option to be followed when pre-screening, registration &amp; relocation takes place within 3 days &amp; also for the initial 3 days if relocation takes place after 3 days</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Core Relief Items (CRIs)</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All refugee families/ individuals</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Kitchen sets to be provided if the refugees cannot be relocated within 3 days</w:t>
            </w:r>
            <w:r>
              <w:rPr>
                <w:rFonts w:cs="Calibri"/>
                <w:lang w:val="en-CA"/>
              </w:rPr>
              <w:t xml:space="preserve"> unless hot meal provided</w:t>
            </w:r>
          </w:p>
        </w:tc>
      </w:tr>
    </w:tbl>
    <w:p w:rsidR="00344521" w:rsidRDefault="00344521" w:rsidP="00344521">
      <w:pPr>
        <w:pStyle w:val="Heading3"/>
        <w:rPr>
          <w:rFonts w:asciiTheme="minorHAnsi" w:hAnsiTheme="minorHAnsi"/>
          <w:sz w:val="24"/>
          <w:szCs w:val="24"/>
          <w:lang w:val="en-CA"/>
        </w:rPr>
      </w:pPr>
      <w:r>
        <w:rPr>
          <w:rFonts w:asciiTheme="minorHAnsi" w:hAnsiTheme="minorHAnsi"/>
          <w:sz w:val="24"/>
          <w:szCs w:val="24"/>
          <w:lang w:val="en-CA"/>
        </w:rPr>
        <w:t xml:space="preserve">Recommended </w:t>
      </w:r>
      <w:r w:rsidRPr="00767A0A">
        <w:rPr>
          <w:rFonts w:asciiTheme="minorHAnsi" w:hAnsiTheme="minorHAnsi"/>
          <w:sz w:val="24"/>
          <w:szCs w:val="24"/>
          <w:lang w:val="en-CA"/>
        </w:rPr>
        <w:t xml:space="preserve">Key Health Interventions at </w:t>
      </w:r>
      <w:r>
        <w:rPr>
          <w:rFonts w:asciiTheme="minorHAnsi" w:hAnsiTheme="minorHAnsi"/>
          <w:sz w:val="24"/>
          <w:szCs w:val="24"/>
          <w:lang w:val="en-CA"/>
        </w:rPr>
        <w:t>Transit</w:t>
      </w:r>
      <w:r w:rsidRPr="00767A0A">
        <w:rPr>
          <w:rFonts w:asciiTheme="minorHAnsi" w:hAnsiTheme="minorHAnsi"/>
          <w:sz w:val="24"/>
          <w:szCs w:val="24"/>
          <w:lang w:val="en-CA"/>
        </w:rPr>
        <w:t xml:space="preserve"> Centres </w:t>
      </w:r>
    </w:p>
    <w:p w:rsidR="00344521" w:rsidRPr="00A32E8F" w:rsidRDefault="00344521" w:rsidP="00344521">
      <w:pPr>
        <w:rPr>
          <w:b/>
          <w:lang w:val="en-CA"/>
        </w:rPr>
      </w:pPr>
      <w:r w:rsidRPr="00A32E8F">
        <w:rPr>
          <w:b/>
          <w:color w:val="FF0000"/>
          <w:lang w:val="en-CA"/>
        </w:rPr>
        <w:t xml:space="preserve">NOTE: </w:t>
      </w:r>
      <w:r w:rsidRPr="001F1D65">
        <w:rPr>
          <w:lang w:val="en-CA"/>
        </w:rPr>
        <w:t>This should be a temporary site with aim to relocate the refugees to camp within 3 days, otherwise, based on experience, there will be significant health risks including disease outbreaks and avoidable need to scale up interventions at transit locations despite limited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2673"/>
        <w:gridCol w:w="3359"/>
      </w:tblGrid>
      <w:tr w:rsidR="00344521" w:rsidRPr="00A32E8F" w:rsidTr="00F87216">
        <w:tc>
          <w:tcPr>
            <w:tcW w:w="1737" w:type="pct"/>
            <w:shd w:val="clear" w:color="auto" w:fill="548DD4"/>
            <w:vAlign w:val="bottom"/>
          </w:tcPr>
          <w:p w:rsidR="00344521" w:rsidRPr="00A32E8F" w:rsidRDefault="00344521" w:rsidP="00F87216">
            <w:pPr>
              <w:spacing w:before="240" w:after="120" w:line="240" w:lineRule="auto"/>
              <w:rPr>
                <w:rFonts w:cs="Calibri"/>
                <w:b/>
                <w:color w:val="FFFFFF"/>
                <w:lang w:val="en-CA"/>
              </w:rPr>
            </w:pPr>
            <w:r w:rsidRPr="00A32E8F">
              <w:rPr>
                <w:rFonts w:cs="Calibri"/>
                <w:b/>
                <w:color w:val="FFFFFF"/>
                <w:lang w:val="en-CA"/>
              </w:rPr>
              <w:lastRenderedPageBreak/>
              <w:t>KEY INTERVENTION</w:t>
            </w:r>
          </w:p>
        </w:tc>
        <w:tc>
          <w:tcPr>
            <w:tcW w:w="1446" w:type="pct"/>
            <w:shd w:val="clear" w:color="auto" w:fill="548DD4"/>
            <w:vAlign w:val="bottom"/>
          </w:tcPr>
          <w:p w:rsidR="00344521" w:rsidRPr="00A32E8F" w:rsidRDefault="00344521" w:rsidP="00F87216">
            <w:pPr>
              <w:spacing w:before="240" w:after="120" w:line="240" w:lineRule="auto"/>
              <w:rPr>
                <w:rFonts w:cs="Calibri"/>
                <w:b/>
                <w:color w:val="FFFFFF"/>
                <w:lang w:val="en-CA"/>
              </w:rPr>
            </w:pPr>
            <w:r w:rsidRPr="00A32E8F">
              <w:rPr>
                <w:rFonts w:cs="Calibri"/>
                <w:b/>
                <w:color w:val="FFFFFF"/>
                <w:lang w:val="en-CA"/>
              </w:rPr>
              <w:t>TARGET GROUP</w:t>
            </w:r>
          </w:p>
        </w:tc>
        <w:tc>
          <w:tcPr>
            <w:tcW w:w="1817" w:type="pct"/>
            <w:shd w:val="clear" w:color="auto" w:fill="548DD4"/>
            <w:vAlign w:val="bottom"/>
          </w:tcPr>
          <w:p w:rsidR="00344521" w:rsidRPr="00A32E8F" w:rsidRDefault="00344521" w:rsidP="00F87216">
            <w:pPr>
              <w:spacing w:before="240" w:after="120" w:line="240" w:lineRule="auto"/>
              <w:rPr>
                <w:rFonts w:cs="Calibri"/>
                <w:b/>
                <w:color w:val="FFFFFF"/>
                <w:lang w:val="en-CA"/>
              </w:rPr>
            </w:pPr>
            <w:r w:rsidRPr="00A32E8F">
              <w:rPr>
                <w:rFonts w:cs="Calibri"/>
                <w:b/>
                <w:color w:val="FFFFFF"/>
                <w:lang w:val="en-CA"/>
              </w:rPr>
              <w:t>REMARK</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Arrival measles vaccination (next to registration desk)</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6 months to 15 years</w:t>
            </w:r>
          </w:p>
        </w:tc>
        <w:tc>
          <w:tcPr>
            <w:tcW w:w="1817"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In case of measles outbreak in higher population groups, t</w:t>
            </w:r>
            <w:r w:rsidRPr="00A32E8F">
              <w:rPr>
                <w:rFonts w:cs="Calibri"/>
                <w:lang w:val="en-CA"/>
              </w:rPr>
              <w:t>he target for measles vaccination could be extended based on the proportion above 15 years affected by measles</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Vitamin A supplementation (next to registration desk)</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6 months to 5 years</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Important to ensure there is at least an interval of four months between the doses</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Oral polio vaccine (next to registration desk)</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0 to 15 years</w:t>
            </w:r>
          </w:p>
        </w:tc>
        <w:tc>
          <w:tcPr>
            <w:tcW w:w="1817" w:type="pct"/>
            <w:shd w:val="clear" w:color="auto" w:fill="auto"/>
          </w:tcPr>
          <w:p w:rsidR="00344521" w:rsidRPr="00A32E8F" w:rsidRDefault="00344521" w:rsidP="00F87216">
            <w:pPr>
              <w:spacing w:before="120" w:after="120" w:line="240" w:lineRule="auto"/>
              <w:rPr>
                <w:rFonts w:cs="Calibri"/>
                <w:lang w:val="en-CA"/>
              </w:rPr>
            </w:pP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De-worming (next to registration desk)</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2 to 5 years</w:t>
            </w:r>
          </w:p>
        </w:tc>
        <w:tc>
          <w:tcPr>
            <w:tcW w:w="1817" w:type="pct"/>
            <w:shd w:val="clear" w:color="auto" w:fill="auto"/>
          </w:tcPr>
          <w:p w:rsidR="00344521" w:rsidRPr="00A32E8F" w:rsidRDefault="00344521" w:rsidP="00F87216">
            <w:pPr>
              <w:spacing w:before="120" w:after="120" w:line="240" w:lineRule="auto"/>
              <w:rPr>
                <w:rFonts w:cs="Calibri"/>
                <w:lang w:val="en-CA"/>
              </w:rPr>
            </w:pP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Rapid Nutritional Assessment (MUAC and oedema) (next to registration desk)</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 xml:space="preserve">To all </w:t>
            </w:r>
            <w:r>
              <w:rPr>
                <w:rFonts w:cs="Calibri"/>
                <w:lang w:val="en-CA"/>
              </w:rPr>
              <w:t>refugees</w:t>
            </w:r>
            <w:r w:rsidRPr="00A32E8F">
              <w:rPr>
                <w:rFonts w:cs="Calibri"/>
                <w:lang w:val="en-CA"/>
              </w:rPr>
              <w:t xml:space="preserve">  under five children</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MUAC screening done at the registration points with SAM and MAM cases prioritized, registered and referred</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Emergency clinic and disease surveillance</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24 hour emergency treatment/referral</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Ambulance service</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24 hour emergency referral</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Implementation of Minimum initial service package for RH (MISP)</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As per MISP guidelines</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Important to concurrently start planning for comprehensive RH/HIV</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Mental health</w:t>
            </w:r>
          </w:p>
        </w:tc>
        <w:tc>
          <w:tcPr>
            <w:tcW w:w="1446"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All refugees</w:t>
            </w:r>
          </w:p>
        </w:tc>
        <w:tc>
          <w:tcPr>
            <w:tcW w:w="1817" w:type="pct"/>
            <w:shd w:val="clear" w:color="auto" w:fill="auto"/>
          </w:tcPr>
          <w:p w:rsidR="00344521" w:rsidRPr="00A32E8F" w:rsidRDefault="00344521" w:rsidP="00F87216">
            <w:pPr>
              <w:spacing w:before="120" w:after="120" w:line="240" w:lineRule="auto"/>
              <w:rPr>
                <w:rFonts w:cs="Calibri"/>
                <w:lang w:val="en-CA"/>
              </w:rPr>
            </w:pPr>
            <w:r>
              <w:rPr>
                <w:rFonts w:cs="Calibri"/>
                <w:lang w:val="en-CA"/>
              </w:rPr>
              <w:t>Psychological first aid</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Identification of patients on previous treatment &amp; ensure continuity of medication</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HIV/TB patients, others</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Ongoing</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Community based health workers</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Default="00344521" w:rsidP="00F87216">
            <w:pPr>
              <w:spacing w:before="120" w:after="120" w:line="240" w:lineRule="auto"/>
              <w:rPr>
                <w:rFonts w:cs="Calibri"/>
                <w:lang w:val="en-CA"/>
              </w:rPr>
            </w:pPr>
            <w:r w:rsidRPr="00A32E8F">
              <w:rPr>
                <w:rFonts w:cs="Calibri"/>
                <w:lang w:val="en-CA"/>
              </w:rPr>
              <w:t>Continuously identify/refer the sick &amp; vulnerable groups</w:t>
            </w:r>
          </w:p>
          <w:p w:rsidR="00344521" w:rsidRPr="00A32E8F" w:rsidRDefault="00344521" w:rsidP="00F87216">
            <w:pPr>
              <w:spacing w:before="120" w:after="120" w:line="240" w:lineRule="auto"/>
              <w:rPr>
                <w:rFonts w:cs="Calibri"/>
                <w:lang w:val="en-CA"/>
              </w:rPr>
            </w:pPr>
            <w:r>
              <w:rPr>
                <w:rFonts w:cs="Calibri"/>
                <w:lang w:val="en-CA"/>
              </w:rPr>
              <w:t>Focus on targeted messages</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Outbreak disease control and surveillance</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 and host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Prevention / Preparation activities for any outbreak ( Ensure there is EPR Plan)</w:t>
            </w:r>
          </w:p>
        </w:tc>
      </w:tr>
      <w:tr w:rsidR="00344521" w:rsidRPr="00A32E8F" w:rsidTr="00F87216">
        <w:tc>
          <w:tcPr>
            <w:tcW w:w="173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 xml:space="preserve">Support  local government health facilities with medicines, medical </w:t>
            </w:r>
            <w:r w:rsidRPr="00A32E8F">
              <w:rPr>
                <w:rFonts w:cs="Calibri"/>
                <w:lang w:val="en-CA"/>
              </w:rPr>
              <w:lastRenderedPageBreak/>
              <w:t>supplies/equipment</w:t>
            </w:r>
          </w:p>
        </w:tc>
        <w:tc>
          <w:tcPr>
            <w:tcW w:w="1446"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lastRenderedPageBreak/>
              <w:t>Local community</w:t>
            </w:r>
          </w:p>
        </w:tc>
        <w:tc>
          <w:tcPr>
            <w:tcW w:w="1817" w:type="pct"/>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 xml:space="preserve">Support integration of services with MOH in line with UNHCR </w:t>
            </w:r>
            <w:r w:rsidRPr="00A32E8F">
              <w:rPr>
                <w:rFonts w:cs="Calibri"/>
                <w:lang w:val="en-CA"/>
              </w:rPr>
              <w:lastRenderedPageBreak/>
              <w:t>policy &amp; consideration of local context (consult experts in HQ/Reg)</w:t>
            </w:r>
          </w:p>
        </w:tc>
      </w:tr>
      <w:tr w:rsidR="00344521" w:rsidRPr="00A32E8F" w:rsidTr="00F87216">
        <w:tc>
          <w:tcPr>
            <w:tcW w:w="500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44521" w:rsidRPr="00A32E8F" w:rsidRDefault="00344521" w:rsidP="00F87216">
            <w:pPr>
              <w:spacing w:before="120" w:after="120" w:line="240" w:lineRule="auto"/>
              <w:jc w:val="center"/>
              <w:rPr>
                <w:rFonts w:cs="Calibri"/>
                <w:b/>
                <w:lang w:val="en-CA"/>
              </w:rPr>
            </w:pPr>
            <w:r w:rsidRPr="00A32E8F">
              <w:rPr>
                <w:rFonts w:cs="Calibri"/>
                <w:b/>
                <w:lang w:val="en-CA"/>
              </w:rPr>
              <w:lastRenderedPageBreak/>
              <w:t>Nutrition</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Rapid Nutritional Assessment (MUAC and oedema) (next to registration desk)</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To all asylum seeker</w:t>
            </w:r>
            <w:r>
              <w:rPr>
                <w:rFonts w:cs="Calibri"/>
                <w:lang w:val="en-CA"/>
              </w:rPr>
              <w:t>/refugees</w:t>
            </w:r>
            <w:r w:rsidRPr="00A32E8F">
              <w:rPr>
                <w:rFonts w:cs="Calibri"/>
                <w:lang w:val="en-CA"/>
              </w:rPr>
              <w:t xml:space="preserve">  under five children</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MUAC screening done at the registration points with SAM and MAM cases prioritized, registered and referred</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Blanket Supplementary Feeding Programme (BSFP)</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6-59 months based on level of emergency (&gt;15% GAM or &gt;10% with aggravating factors)</w:t>
            </w:r>
          </w:p>
          <w:p w:rsidR="00344521" w:rsidRPr="00A32E8F" w:rsidRDefault="00344521" w:rsidP="00F87216">
            <w:pPr>
              <w:spacing w:before="120" w:after="120" w:line="240" w:lineRule="auto"/>
              <w:rPr>
                <w:rFonts w:cs="Calibri"/>
                <w:lang w:val="en-CA"/>
              </w:rPr>
            </w:pPr>
            <w:r w:rsidRPr="00A32E8F">
              <w:rPr>
                <w:rFonts w:cs="Calibri"/>
                <w:lang w:val="en-CA"/>
              </w:rPr>
              <w:t>Pregnant and Lactating Women</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As per rapid nutrition assessment results</w:t>
            </w:r>
          </w:p>
          <w:p w:rsidR="00344521" w:rsidRPr="00A32E8F" w:rsidRDefault="00344521" w:rsidP="00F87216">
            <w:pPr>
              <w:spacing w:before="120" w:after="120" w:line="240" w:lineRule="auto"/>
              <w:rPr>
                <w:rFonts w:cs="Calibri"/>
                <w:lang w:val="en-CA"/>
              </w:rPr>
            </w:pPr>
            <w:r w:rsidRPr="00A32E8F">
              <w:rPr>
                <w:rFonts w:cs="Calibri"/>
                <w:lang w:val="en-CA"/>
              </w:rPr>
              <w:t>Monthly MUAC for all children in the BSFP to assess the nutrition status trends</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Targeted Supplementary Feeding Programme (TSFP)</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MAM cases</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 xml:space="preserve">Weekly monitoring needed and home follow-up </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Out-patient Therapeutic Programme (OTP)</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SAM cases</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 xml:space="preserve">Weekly monitoring needed and home follow-up </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Referral to stabilization center (SC) or medical care</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SAM cases or others needing medical referral</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Community based health workers</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Refugees and host community</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Continuously identify/refer vulnerable or malnourished</w:t>
            </w:r>
          </w:p>
        </w:tc>
      </w:tr>
      <w:tr w:rsidR="00344521" w:rsidRPr="00A32E8F" w:rsidTr="00F87216">
        <w:tc>
          <w:tcPr>
            <w:tcW w:w="500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44521" w:rsidRPr="00A32E8F" w:rsidRDefault="00344521" w:rsidP="00F87216">
            <w:pPr>
              <w:spacing w:before="120" w:after="120" w:line="240" w:lineRule="auto"/>
              <w:jc w:val="center"/>
              <w:rPr>
                <w:rFonts w:cs="Calibri"/>
                <w:b/>
                <w:lang w:val="en-CA"/>
              </w:rPr>
            </w:pPr>
            <w:r w:rsidRPr="00A32E8F">
              <w:rPr>
                <w:rFonts w:cs="Calibri"/>
                <w:b/>
                <w:lang w:val="en-CA"/>
              </w:rPr>
              <w:t>Food Security</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High Energy Biscuit (HEB)</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New arrivals before being registered and relocated</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This option to be followed when pre-screening, registration &amp; relocation takes place within 3 days &amp; also for the initial 3 days if relocation takes place after 3 days</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General Food Distribution (GFD)</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All refugee families/ individuals</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Distribution center with shade, water, latrine needed</w:t>
            </w:r>
          </w:p>
          <w:p w:rsidR="00344521" w:rsidRPr="00A32E8F" w:rsidRDefault="00344521" w:rsidP="00F87216">
            <w:pPr>
              <w:spacing w:before="120" w:after="120" w:line="240" w:lineRule="auto"/>
              <w:rPr>
                <w:rFonts w:cs="Calibri"/>
                <w:lang w:val="en-CA"/>
              </w:rPr>
            </w:pPr>
            <w:r w:rsidRPr="00A32E8F">
              <w:rPr>
                <w:rFonts w:cs="Calibri"/>
                <w:lang w:val="en-CA"/>
              </w:rPr>
              <w:t>If relocation  is to take between 3 to 7 days after arrival, a 7 day ration should be provided in addition to the 3 days of HEB</w:t>
            </w:r>
          </w:p>
          <w:p w:rsidR="00344521" w:rsidRPr="00A32E8F" w:rsidRDefault="00344521" w:rsidP="00F87216">
            <w:pPr>
              <w:spacing w:before="120" w:after="120" w:line="240" w:lineRule="auto"/>
              <w:rPr>
                <w:rFonts w:cs="Calibri"/>
                <w:lang w:val="en-CA"/>
              </w:rPr>
            </w:pPr>
            <w:r w:rsidRPr="00A32E8F">
              <w:rPr>
                <w:rFonts w:cs="Calibri"/>
                <w:lang w:val="en-CA"/>
              </w:rPr>
              <w:t xml:space="preserve">If relocation is to take place between 7 to 10 days after arrival, a 14 day ration should be provided in addition to the 3 days of HEB </w:t>
            </w:r>
          </w:p>
          <w:p w:rsidR="00344521" w:rsidRPr="00A32E8F" w:rsidRDefault="00344521" w:rsidP="00F87216">
            <w:pPr>
              <w:spacing w:before="120" w:after="120" w:line="240" w:lineRule="auto"/>
              <w:rPr>
                <w:rFonts w:cs="Calibri"/>
                <w:lang w:val="en-CA"/>
              </w:rPr>
            </w:pPr>
            <w:r w:rsidRPr="00A32E8F">
              <w:rPr>
                <w:rFonts w:cs="Calibri"/>
                <w:lang w:val="en-CA"/>
              </w:rPr>
              <w:t xml:space="preserve">GFD to take place concurrently with the registration/relocation </w:t>
            </w:r>
            <w:r w:rsidRPr="00A32E8F">
              <w:rPr>
                <w:rFonts w:cs="Calibri"/>
                <w:lang w:val="en-CA"/>
              </w:rPr>
              <w:lastRenderedPageBreak/>
              <w:t>activities (min 2 distribution staff present on a daily basis)</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lastRenderedPageBreak/>
              <w:t>Core Relief Items (CRIs)</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All refugee families/ individuals</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Pr>
                <w:rFonts w:cs="Calibri"/>
                <w:lang w:val="en-CA"/>
              </w:rPr>
              <w:t xml:space="preserve">Buckets, Jerry cans, blankets, soap. </w:t>
            </w:r>
            <w:r w:rsidRPr="00A32E8F">
              <w:rPr>
                <w:rFonts w:cs="Calibri"/>
                <w:lang w:val="en-CA"/>
              </w:rPr>
              <w:t>Kitchen sets to be provided if the refugees cannot be relocated within 3 days</w:t>
            </w:r>
            <w:r>
              <w:rPr>
                <w:rFonts w:cs="Calibri"/>
                <w:lang w:val="en-CA"/>
              </w:rPr>
              <w:t xml:space="preserve"> unless hot meal provided </w:t>
            </w:r>
          </w:p>
        </w:tc>
      </w:tr>
      <w:tr w:rsidR="00344521" w:rsidRPr="00A32E8F" w:rsidTr="00F87216">
        <w:tc>
          <w:tcPr>
            <w:tcW w:w="173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Access to safe energy</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All refugee families/ individuals</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344521" w:rsidRPr="00A32E8F" w:rsidRDefault="00344521" w:rsidP="00F87216">
            <w:pPr>
              <w:spacing w:before="120" w:after="120" w:line="240" w:lineRule="auto"/>
              <w:rPr>
                <w:rFonts w:cs="Calibri"/>
                <w:lang w:val="en-CA"/>
              </w:rPr>
            </w:pPr>
            <w:r w:rsidRPr="00A32E8F">
              <w:rPr>
                <w:rFonts w:cs="Calibri"/>
                <w:lang w:val="en-CA"/>
              </w:rPr>
              <w:t>A more comprehensive solution for safe access to energy needs to be identified &amp; consider alternatives to firewood</w:t>
            </w:r>
          </w:p>
        </w:tc>
      </w:tr>
    </w:tbl>
    <w:p w:rsidR="00344521" w:rsidRPr="00767A0A" w:rsidRDefault="00344521" w:rsidP="00344521">
      <w:pPr>
        <w:pStyle w:val="Heading3"/>
        <w:rPr>
          <w:rFonts w:asciiTheme="minorHAnsi" w:hAnsiTheme="minorHAnsi"/>
          <w:sz w:val="24"/>
          <w:szCs w:val="24"/>
          <w:lang w:val="en-CA"/>
        </w:rPr>
      </w:pPr>
      <w:r>
        <w:rPr>
          <w:rFonts w:asciiTheme="minorHAnsi" w:hAnsiTheme="minorHAnsi"/>
          <w:sz w:val="24"/>
          <w:szCs w:val="24"/>
          <w:lang w:val="en-CA"/>
        </w:rPr>
        <w:t xml:space="preserve">Recommended </w:t>
      </w:r>
      <w:r w:rsidRPr="00767A0A">
        <w:rPr>
          <w:rFonts w:asciiTheme="minorHAnsi" w:hAnsiTheme="minorHAnsi"/>
          <w:sz w:val="24"/>
          <w:szCs w:val="24"/>
          <w:lang w:val="en-CA"/>
        </w:rPr>
        <w:t xml:space="preserve">Key Health Interventions at Camps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769"/>
        <w:gridCol w:w="3336"/>
      </w:tblGrid>
      <w:tr w:rsidR="00344521" w:rsidRPr="00767A0A" w:rsidTr="00F87216">
        <w:tc>
          <w:tcPr>
            <w:tcW w:w="1697" w:type="pct"/>
            <w:shd w:val="clear" w:color="auto" w:fill="548DD4"/>
            <w:vAlign w:val="bottom"/>
          </w:tcPr>
          <w:p w:rsidR="00344521" w:rsidRPr="00767A0A" w:rsidRDefault="00344521" w:rsidP="00F87216">
            <w:pPr>
              <w:spacing w:before="240" w:after="120" w:line="240" w:lineRule="auto"/>
              <w:rPr>
                <w:rFonts w:cs="Calibri"/>
                <w:b/>
                <w:color w:val="FFFFFF"/>
                <w:sz w:val="24"/>
                <w:szCs w:val="24"/>
                <w:lang w:val="en-CA"/>
              </w:rPr>
            </w:pPr>
            <w:r w:rsidRPr="00767A0A">
              <w:rPr>
                <w:rFonts w:cs="Calibri"/>
                <w:b/>
                <w:color w:val="FFFFFF"/>
                <w:sz w:val="24"/>
                <w:szCs w:val="24"/>
                <w:lang w:val="en-CA"/>
              </w:rPr>
              <w:t>KEY INTERVENTION</w:t>
            </w:r>
          </w:p>
        </w:tc>
        <w:tc>
          <w:tcPr>
            <w:tcW w:w="1498" w:type="pct"/>
            <w:shd w:val="clear" w:color="auto" w:fill="548DD4"/>
            <w:vAlign w:val="bottom"/>
          </w:tcPr>
          <w:p w:rsidR="00344521" w:rsidRPr="00767A0A" w:rsidRDefault="00344521" w:rsidP="00F87216">
            <w:pPr>
              <w:spacing w:before="240" w:after="120" w:line="240" w:lineRule="auto"/>
              <w:rPr>
                <w:rFonts w:cs="Calibri"/>
                <w:b/>
                <w:color w:val="FFFFFF"/>
                <w:sz w:val="24"/>
                <w:szCs w:val="24"/>
                <w:lang w:val="en-CA"/>
              </w:rPr>
            </w:pPr>
            <w:r w:rsidRPr="00767A0A">
              <w:rPr>
                <w:rFonts w:cs="Calibri"/>
                <w:b/>
                <w:color w:val="FFFFFF"/>
                <w:sz w:val="24"/>
                <w:szCs w:val="24"/>
                <w:lang w:val="en-CA"/>
              </w:rPr>
              <w:t>TARGET GROUP</w:t>
            </w:r>
          </w:p>
        </w:tc>
        <w:tc>
          <w:tcPr>
            <w:tcW w:w="1805" w:type="pct"/>
            <w:shd w:val="clear" w:color="auto" w:fill="548DD4"/>
            <w:vAlign w:val="bottom"/>
          </w:tcPr>
          <w:p w:rsidR="00344521" w:rsidRPr="00767A0A" w:rsidRDefault="00344521" w:rsidP="00F87216">
            <w:pPr>
              <w:spacing w:before="240" w:after="120" w:line="240" w:lineRule="auto"/>
              <w:rPr>
                <w:rFonts w:cs="Calibri"/>
                <w:b/>
                <w:color w:val="FFFFFF"/>
                <w:sz w:val="24"/>
                <w:szCs w:val="24"/>
                <w:lang w:val="en-CA"/>
              </w:rPr>
            </w:pPr>
            <w:r w:rsidRPr="00767A0A">
              <w:rPr>
                <w:rFonts w:cs="Calibri"/>
                <w:b/>
                <w:color w:val="FFFFFF"/>
                <w:sz w:val="24"/>
                <w:szCs w:val="24"/>
                <w:lang w:val="en-CA"/>
              </w:rPr>
              <w:t>REMARK</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Vaccination (</w:t>
            </w:r>
            <w:r w:rsidRPr="00987BFC">
              <w:rPr>
                <w:rFonts w:cs="Calibri"/>
                <w:b/>
                <w:sz w:val="24"/>
                <w:szCs w:val="24"/>
                <w:u w:val="single"/>
                <w:lang w:val="en-CA"/>
              </w:rPr>
              <w:t>Routine EPI</w:t>
            </w:r>
            <w:r w:rsidRPr="00767A0A">
              <w:rPr>
                <w:rFonts w:cs="Calibri"/>
                <w:sz w:val="24"/>
                <w:szCs w:val="24"/>
                <w:lang w:val="en-CA"/>
              </w:rPr>
              <w:t xml:space="preserve"> as per the National Schedule).</w:t>
            </w:r>
            <w:r w:rsidRPr="00767A0A" w:rsidDel="004B59F5">
              <w:rPr>
                <w:rFonts w:cs="Calibri"/>
                <w:sz w:val="24"/>
                <w:szCs w:val="24"/>
                <w:lang w:val="en-CA"/>
              </w:rPr>
              <w:t xml:space="preserve"> </w:t>
            </w:r>
            <w:r w:rsidRPr="00767A0A">
              <w:rPr>
                <w:rFonts w:cs="Calibri"/>
                <w:sz w:val="24"/>
                <w:szCs w:val="24"/>
                <w:lang w:val="en-CA"/>
              </w:rPr>
              <w:t>Additionally,</w:t>
            </w:r>
            <w:r>
              <w:rPr>
                <w:rFonts w:cs="Calibri"/>
                <w:sz w:val="24"/>
                <w:szCs w:val="24"/>
                <w:lang w:val="en-CA"/>
              </w:rPr>
              <w:t xml:space="preserve"> Selective vaccination for OPV &amp; </w:t>
            </w:r>
            <w:r w:rsidRPr="00767A0A">
              <w:rPr>
                <w:rFonts w:cs="Calibri"/>
                <w:sz w:val="24"/>
                <w:szCs w:val="24"/>
                <w:lang w:val="en-CA"/>
              </w:rPr>
              <w:t xml:space="preserve">measles for those </w:t>
            </w:r>
            <w:r>
              <w:rPr>
                <w:rFonts w:cs="Calibri"/>
                <w:sz w:val="24"/>
                <w:szCs w:val="24"/>
                <w:lang w:val="en-CA"/>
              </w:rPr>
              <w:t xml:space="preserve">under 15yrs </w:t>
            </w:r>
            <w:r w:rsidRPr="00767A0A">
              <w:rPr>
                <w:rFonts w:cs="Calibri"/>
                <w:sz w:val="24"/>
                <w:szCs w:val="24"/>
                <w:lang w:val="en-CA"/>
              </w:rPr>
              <w:t>not vaccinated at reception points)</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Pr>
                <w:rFonts w:cs="Calibri"/>
                <w:sz w:val="24"/>
                <w:szCs w:val="24"/>
                <w:lang w:val="en-CA"/>
              </w:rPr>
              <w:t>EPI a</w:t>
            </w:r>
            <w:r w:rsidRPr="00767A0A">
              <w:rPr>
                <w:rFonts w:cs="Calibri"/>
                <w:sz w:val="24"/>
                <w:szCs w:val="24"/>
                <w:lang w:val="en-CA"/>
              </w:rPr>
              <w:t>s per national and UNHCR guidelines</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Selective for those not vaccinated at reception points.</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Catch up vaccination for children under one as per national guidelines.</w:t>
            </w:r>
          </w:p>
        </w:tc>
      </w:tr>
      <w:tr w:rsidR="00344521" w:rsidRPr="00767A0A" w:rsidTr="00F87216">
        <w:tc>
          <w:tcPr>
            <w:tcW w:w="1697"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Vitamin A supplementation</w:t>
            </w:r>
          </w:p>
        </w:tc>
        <w:tc>
          <w:tcPr>
            <w:tcW w:w="1498"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6 months to 5 years</w:t>
            </w:r>
          </w:p>
        </w:tc>
        <w:tc>
          <w:tcPr>
            <w:tcW w:w="1805"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Selective for those not vaccinated at reception points</w:t>
            </w:r>
          </w:p>
        </w:tc>
      </w:tr>
      <w:tr w:rsidR="00344521" w:rsidRPr="00767A0A" w:rsidTr="00F87216">
        <w:tc>
          <w:tcPr>
            <w:tcW w:w="1697"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R</w:t>
            </w:r>
            <w:r w:rsidR="00C36AC4" w:rsidRPr="006C4F66">
              <w:rPr>
                <w:rFonts w:cs="Calibri"/>
                <w:sz w:val="24"/>
                <w:szCs w:val="24"/>
                <w:lang w:val="en-CA"/>
              </w:rPr>
              <w:t xml:space="preserve">eproductive </w:t>
            </w:r>
            <w:r w:rsidRPr="006C4F66">
              <w:rPr>
                <w:rFonts w:cs="Calibri"/>
                <w:sz w:val="24"/>
                <w:szCs w:val="24"/>
                <w:lang w:val="en-CA"/>
              </w:rPr>
              <w:t>H</w:t>
            </w:r>
            <w:r w:rsidR="00C36AC4" w:rsidRPr="006C4F66">
              <w:rPr>
                <w:rFonts w:cs="Calibri"/>
                <w:sz w:val="24"/>
                <w:szCs w:val="24"/>
                <w:lang w:val="en-CA"/>
              </w:rPr>
              <w:t>ealth</w:t>
            </w:r>
            <w:r w:rsidRPr="006C4F66">
              <w:rPr>
                <w:rFonts w:cs="Calibri"/>
                <w:sz w:val="24"/>
                <w:szCs w:val="24"/>
                <w:lang w:val="en-CA"/>
              </w:rPr>
              <w:t xml:space="preserve"> </w:t>
            </w:r>
          </w:p>
        </w:tc>
        <w:tc>
          <w:tcPr>
            <w:tcW w:w="1498" w:type="pct"/>
            <w:shd w:val="clear" w:color="auto" w:fill="auto"/>
          </w:tcPr>
          <w:p w:rsidR="00344521" w:rsidRPr="006C4F66" w:rsidRDefault="00C36AC4" w:rsidP="00C36AC4">
            <w:pPr>
              <w:spacing w:before="120" w:after="120" w:line="240" w:lineRule="auto"/>
              <w:rPr>
                <w:rFonts w:cs="Calibri"/>
                <w:sz w:val="24"/>
                <w:szCs w:val="24"/>
                <w:lang w:val="en-CA"/>
              </w:rPr>
            </w:pPr>
            <w:r w:rsidRPr="006C4F66">
              <w:rPr>
                <w:rFonts w:cs="Calibri"/>
                <w:sz w:val="24"/>
                <w:szCs w:val="24"/>
                <w:lang w:val="en-CA"/>
              </w:rPr>
              <w:t>All refugees in RH age</w:t>
            </w:r>
          </w:p>
        </w:tc>
        <w:tc>
          <w:tcPr>
            <w:tcW w:w="1805"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b/>
                <w:sz w:val="24"/>
                <w:szCs w:val="24"/>
                <w:lang w:val="en-CA"/>
              </w:rPr>
              <w:t>Comprehensive RH/HIV</w:t>
            </w:r>
            <w:r w:rsidRPr="006C4F66">
              <w:rPr>
                <w:rFonts w:cs="Calibri"/>
                <w:sz w:val="24"/>
                <w:szCs w:val="24"/>
                <w:lang w:val="en-CA"/>
              </w:rPr>
              <w:t xml:space="preserve"> is planned for and started as emergency continues</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OPD Clinical care</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refugees and host community</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During working hours (and 24 hours for emergency/ duty hours)</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In-patient Department (IPD) Clinical care</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Patients needing admission</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24 hour service </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Ambulance service</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Patients needing referral</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24 hour service </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Community outreach</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households in the camp</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Isolation room</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Patients with epidemic prone disease</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Distribution of mosquito nets</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All refugees at ratio of 1 </w:t>
            </w:r>
            <w:r w:rsidRPr="00767A0A">
              <w:rPr>
                <w:rFonts w:cs="Calibri"/>
                <w:sz w:val="24"/>
                <w:szCs w:val="24"/>
                <w:lang w:val="en-CA"/>
              </w:rPr>
              <w:lastRenderedPageBreak/>
              <w:t>LLIN/ 2 individuals</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Pr>
                <w:rFonts w:cs="Calibri"/>
                <w:sz w:val="24"/>
                <w:szCs w:val="24"/>
                <w:lang w:val="en-CA"/>
              </w:rPr>
              <w:lastRenderedPageBreak/>
              <w:t xml:space="preserve">Intensive health education and </w:t>
            </w:r>
            <w:r>
              <w:rPr>
                <w:rFonts w:cs="Calibri"/>
                <w:sz w:val="24"/>
                <w:szCs w:val="24"/>
                <w:lang w:val="en-CA"/>
              </w:rPr>
              <w:lastRenderedPageBreak/>
              <w:t xml:space="preserve">Household visit/supervision to </w:t>
            </w:r>
            <w:r w:rsidRPr="00767A0A">
              <w:rPr>
                <w:rFonts w:cs="Calibri"/>
                <w:sz w:val="24"/>
                <w:szCs w:val="24"/>
                <w:lang w:val="en-CA"/>
              </w:rPr>
              <w:t>ensure proper use</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lastRenderedPageBreak/>
              <w:t>HIS</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facilities</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Weekly data compilation for the HIS following the standard format</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Disease Surveillance</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facilities</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Weekly data compilation and immediate reporting of any outbreaks.</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EPRP to be develo</w:t>
            </w:r>
            <w:r>
              <w:rPr>
                <w:rFonts w:cs="Calibri"/>
                <w:sz w:val="24"/>
                <w:szCs w:val="24"/>
                <w:lang w:val="en-CA"/>
              </w:rPr>
              <w:t>ped for epidemic prone diseases</w:t>
            </w:r>
          </w:p>
        </w:tc>
      </w:tr>
      <w:tr w:rsidR="00344521" w:rsidRPr="00767A0A" w:rsidTr="00F87216">
        <w:tc>
          <w:tcPr>
            <w:tcW w:w="1697"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Chronic Cases(with specific focus on TB and HIV)</w:t>
            </w:r>
          </w:p>
        </w:tc>
        <w:tc>
          <w:tcPr>
            <w:tcW w:w="1498"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Patients with Chronic disease Conditions.</w:t>
            </w:r>
          </w:p>
        </w:tc>
        <w:tc>
          <w:tcPr>
            <w:tcW w:w="1805"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Ensure continuation of treatment for those with chronic disease conditions</w:t>
            </w:r>
          </w:p>
        </w:tc>
      </w:tr>
      <w:tr w:rsidR="00344521" w:rsidRPr="00767A0A" w:rsidTr="00F87216">
        <w:tc>
          <w:tcPr>
            <w:tcW w:w="1697" w:type="pct"/>
            <w:shd w:val="clear" w:color="auto" w:fill="auto"/>
          </w:tcPr>
          <w:p w:rsidR="00344521" w:rsidRPr="006C4F66" w:rsidRDefault="00344521" w:rsidP="00C36AC4">
            <w:pPr>
              <w:spacing w:before="120" w:after="120" w:line="240" w:lineRule="auto"/>
              <w:rPr>
                <w:rFonts w:cs="Calibri"/>
                <w:sz w:val="24"/>
                <w:szCs w:val="24"/>
                <w:lang w:val="en-CA"/>
              </w:rPr>
            </w:pPr>
            <w:r w:rsidRPr="006C4F66">
              <w:rPr>
                <w:rFonts w:cs="Calibri"/>
                <w:sz w:val="24"/>
                <w:szCs w:val="24"/>
                <w:lang w:val="en-CA"/>
              </w:rPr>
              <w:t xml:space="preserve">Mental Health </w:t>
            </w:r>
          </w:p>
        </w:tc>
        <w:tc>
          <w:tcPr>
            <w:tcW w:w="1498"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All refugees as needed.</w:t>
            </w:r>
          </w:p>
        </w:tc>
        <w:tc>
          <w:tcPr>
            <w:tcW w:w="1805" w:type="pct"/>
            <w:shd w:val="clear" w:color="auto" w:fill="auto"/>
          </w:tcPr>
          <w:p w:rsidR="00344521" w:rsidRPr="006C4F66" w:rsidRDefault="00344521" w:rsidP="00F87216">
            <w:pPr>
              <w:spacing w:before="120" w:after="120" w:line="240" w:lineRule="auto"/>
              <w:rPr>
                <w:rFonts w:cs="Calibri"/>
                <w:sz w:val="24"/>
                <w:szCs w:val="24"/>
                <w:lang w:val="en-CA"/>
              </w:rPr>
            </w:pPr>
            <w:r w:rsidRPr="006C4F66">
              <w:rPr>
                <w:rFonts w:cs="Calibri"/>
                <w:sz w:val="24"/>
                <w:szCs w:val="24"/>
                <w:lang w:val="en-CA"/>
              </w:rPr>
              <w:t>Ensure that mental health care is functionally linked to, and preferably integrated in the general health system; avoid establishing parallel mental health services</w:t>
            </w:r>
          </w:p>
        </w:tc>
      </w:tr>
      <w:tr w:rsidR="00344521" w:rsidRPr="00767A0A" w:rsidTr="00F87216">
        <w:tc>
          <w:tcPr>
            <w:tcW w:w="1697"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Support local government health facilities with medicines, medical and Laboratory supplies/ equipment</w:t>
            </w:r>
          </w:p>
        </w:tc>
        <w:tc>
          <w:tcPr>
            <w:tcW w:w="1498" w:type="pct"/>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Local community</w:t>
            </w:r>
          </w:p>
        </w:tc>
        <w:tc>
          <w:tcPr>
            <w:tcW w:w="1805" w:type="pct"/>
            <w:shd w:val="clear" w:color="auto" w:fill="auto"/>
          </w:tcPr>
          <w:p w:rsidR="00344521" w:rsidRPr="00767A0A" w:rsidRDefault="00344521" w:rsidP="00F87216">
            <w:pPr>
              <w:spacing w:before="120" w:after="120" w:line="240" w:lineRule="auto"/>
              <w:rPr>
                <w:rFonts w:cs="Calibri"/>
                <w:sz w:val="24"/>
                <w:szCs w:val="24"/>
                <w:lang w:val="en-CA"/>
              </w:rPr>
            </w:pPr>
            <w:r>
              <w:rPr>
                <w:rFonts w:cs="Calibri"/>
                <w:sz w:val="24"/>
                <w:szCs w:val="24"/>
                <w:lang w:val="en-CA"/>
              </w:rPr>
              <w:t>Support integration of services with MOH in line with UNHCR policy &amp; consideration of local context (consult experts in HQ/Reg)</w:t>
            </w:r>
          </w:p>
        </w:tc>
      </w:tr>
      <w:tr w:rsidR="00344521" w:rsidRPr="00767A0A" w:rsidTr="00F87216">
        <w:tc>
          <w:tcPr>
            <w:tcW w:w="5000" w:type="pct"/>
            <w:gridSpan w:val="3"/>
            <w:shd w:val="clear" w:color="auto" w:fill="A8D08D" w:themeFill="accent6" w:themeFillTint="99"/>
          </w:tcPr>
          <w:p w:rsidR="00344521" w:rsidRPr="00767A0A" w:rsidRDefault="00344521" w:rsidP="00F87216">
            <w:pPr>
              <w:spacing w:before="120" w:after="120" w:line="240" w:lineRule="auto"/>
              <w:jc w:val="center"/>
              <w:rPr>
                <w:rFonts w:cs="Calibri"/>
                <w:sz w:val="24"/>
                <w:szCs w:val="24"/>
                <w:lang w:val="en-CA"/>
              </w:rPr>
            </w:pPr>
            <w:r w:rsidRPr="00987BFC">
              <w:rPr>
                <w:rFonts w:cs="Calibri"/>
                <w:b/>
                <w:sz w:val="24"/>
                <w:szCs w:val="24"/>
                <w:lang w:val="en-CA"/>
              </w:rPr>
              <w:t>Nutrition</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Nutritional screening (MUAC and oedema)</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6 months to 5 years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Arrival screening for all target groups together with information package for new arrivals</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Regular outreach screening through the use of community based health workforce</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Mop-up screening needed </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BSFP</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6 months to 5 years, PLW</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As per rapid nutritional assessment results</w:t>
            </w:r>
            <w:r>
              <w:rPr>
                <w:rFonts w:cs="Calibri"/>
                <w:sz w:val="24"/>
                <w:szCs w:val="24"/>
                <w:lang w:val="en-CA"/>
              </w:rPr>
              <w:t xml:space="preserve"> &amp; guidelines</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Monthly MUAC for all children in the BSFP to assess the nutrition status trends</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lastRenderedPageBreak/>
              <w:t>TSFP</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MAM cases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Need to ensure RUSF is available (by WFP)</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OTP</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SAM cases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Adequate RUTF to be made available (UNHCR/UNICEF)</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Baby Friendly Space (BFS)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under-two children and their mothers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Assessment of breastfeeding  and general feeding at the screening site and at community level  </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Infants and young children found to have breastfeeding  and feeding difficulties to be referred to the  BFS for counselling and support</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Mother to mother support groups for Infant and Young Child Feeding (IYCF) </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Mothers of under-two children and pregnant women</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Identify women in the community who can serve as lead mothers (trained on appropriate feeding practices after which they will lead groups of 10-15 mothers and facilitate peer to peer support)</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Community based health workforce</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households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Pr>
                <w:rFonts w:cs="Calibri"/>
                <w:sz w:val="24"/>
                <w:szCs w:val="24"/>
                <w:lang w:val="en-CA"/>
              </w:rPr>
              <w:t>Minimum 1 per 25</w:t>
            </w:r>
            <w:r w:rsidRPr="00767A0A">
              <w:rPr>
                <w:rFonts w:cs="Calibri"/>
                <w:sz w:val="24"/>
                <w:szCs w:val="24"/>
                <w:lang w:val="en-CA"/>
              </w:rPr>
              <w:t xml:space="preserve"> households </w:t>
            </w:r>
            <w:r>
              <w:rPr>
                <w:rFonts w:cs="Calibri"/>
                <w:sz w:val="24"/>
                <w:szCs w:val="24"/>
                <w:lang w:val="en-CA"/>
              </w:rPr>
              <w:t>(integrated health, nutrition &amp;</w:t>
            </w:r>
            <w:r w:rsidRPr="00767A0A">
              <w:rPr>
                <w:rFonts w:cs="Calibri"/>
                <w:sz w:val="24"/>
                <w:szCs w:val="24"/>
                <w:lang w:val="en-CA"/>
              </w:rPr>
              <w:t xml:space="preserve"> hygiene promotion</w:t>
            </w:r>
            <w:r>
              <w:rPr>
                <w:rFonts w:cs="Calibri"/>
                <w:sz w:val="24"/>
                <w:szCs w:val="24"/>
                <w:lang w:val="en-CA"/>
              </w:rPr>
              <w:t xml:space="preserve"> preferred</w:t>
            </w:r>
            <w:r w:rsidRPr="00767A0A">
              <w:rPr>
                <w:rFonts w:cs="Calibri"/>
                <w:sz w:val="24"/>
                <w:szCs w:val="24"/>
                <w:lang w:val="en-CA"/>
              </w:rPr>
              <w:t>)</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Stabilization Center</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SAM cases with medical complications needing inpatient stabilization</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This service is integrated with IPD, however strong linkage is needed between the partner </w:t>
            </w:r>
            <w:r>
              <w:rPr>
                <w:rFonts w:cs="Calibri"/>
                <w:sz w:val="24"/>
                <w:szCs w:val="24"/>
                <w:lang w:val="en-CA"/>
              </w:rPr>
              <w:t>managing</w:t>
            </w:r>
            <w:r w:rsidRPr="00767A0A">
              <w:rPr>
                <w:rFonts w:cs="Calibri"/>
                <w:sz w:val="24"/>
                <w:szCs w:val="24"/>
                <w:lang w:val="en-CA"/>
              </w:rPr>
              <w:t xml:space="preserve"> the </w:t>
            </w:r>
            <w:r>
              <w:rPr>
                <w:rFonts w:cs="Calibri"/>
                <w:sz w:val="24"/>
                <w:szCs w:val="24"/>
                <w:lang w:val="en-CA"/>
              </w:rPr>
              <w:t>SC</w:t>
            </w:r>
            <w:r w:rsidRPr="00767A0A">
              <w:rPr>
                <w:rFonts w:cs="Calibri"/>
                <w:sz w:val="24"/>
                <w:szCs w:val="24"/>
                <w:lang w:val="en-CA"/>
              </w:rPr>
              <w:t xml:space="preserve"> and the nutrition interventions</w:t>
            </w:r>
            <w:r>
              <w:rPr>
                <w:rFonts w:cs="Calibri"/>
                <w:sz w:val="24"/>
                <w:szCs w:val="24"/>
                <w:lang w:val="en-CA"/>
              </w:rPr>
              <w:t>’ partner</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614AEB" w:rsidRDefault="006C4F66" w:rsidP="00F87216">
            <w:pPr>
              <w:spacing w:before="120" w:after="120" w:line="240" w:lineRule="auto"/>
              <w:rPr>
                <w:rFonts w:cs="Calibri"/>
                <w:sz w:val="24"/>
                <w:szCs w:val="24"/>
                <w:lang w:val="en-CA"/>
              </w:rPr>
            </w:pPr>
            <w:r w:rsidRPr="00614AEB">
              <w:rPr>
                <w:rFonts w:cs="Calibri"/>
                <w:sz w:val="24"/>
                <w:szCs w:val="24"/>
                <w:lang w:val="en-CA"/>
              </w:rPr>
              <w:t>Nutrition survey</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614AEB" w:rsidRDefault="006C4F66" w:rsidP="00614AEB">
            <w:pPr>
              <w:spacing w:before="120" w:after="120" w:line="240" w:lineRule="auto"/>
              <w:rPr>
                <w:rFonts w:cs="Calibri"/>
                <w:sz w:val="24"/>
                <w:szCs w:val="24"/>
                <w:lang w:val="en-CA"/>
              </w:rPr>
            </w:pPr>
            <w:r w:rsidRPr="00614AEB">
              <w:rPr>
                <w:rFonts w:cs="Calibri"/>
                <w:sz w:val="24"/>
                <w:szCs w:val="24"/>
                <w:lang w:val="en-CA"/>
              </w:rPr>
              <w:t xml:space="preserve">All camps </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C36AC4" w:rsidRDefault="006C4F66" w:rsidP="00F87216">
            <w:pPr>
              <w:spacing w:before="120" w:after="120" w:line="240" w:lineRule="auto"/>
              <w:rPr>
                <w:rFonts w:cs="Calibri"/>
                <w:sz w:val="24"/>
                <w:szCs w:val="24"/>
                <w:highlight w:val="yellow"/>
                <w:lang w:val="en-CA"/>
              </w:rPr>
            </w:pPr>
            <w:r>
              <w:rPr>
                <w:rFonts w:cs="Calibri"/>
                <w:sz w:val="24"/>
                <w:szCs w:val="24"/>
                <w:lang w:val="en-CA"/>
              </w:rPr>
              <w:t xml:space="preserve">Plan for nutrition survey </w:t>
            </w:r>
            <w:r w:rsidR="00614AEB">
              <w:rPr>
                <w:rFonts w:cs="Calibri"/>
                <w:sz w:val="24"/>
                <w:szCs w:val="24"/>
                <w:lang w:val="en-CA"/>
              </w:rPr>
              <w:t>once population movements stabilize</w:t>
            </w:r>
          </w:p>
        </w:tc>
      </w:tr>
      <w:tr w:rsidR="00344521" w:rsidRPr="00767A0A" w:rsidTr="00F87216">
        <w:tc>
          <w:tcPr>
            <w:tcW w:w="500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rsidR="00344521" w:rsidRPr="00767A0A" w:rsidRDefault="00344521" w:rsidP="00F87216">
            <w:pPr>
              <w:spacing w:before="120" w:after="120" w:line="240" w:lineRule="auto"/>
              <w:jc w:val="center"/>
              <w:rPr>
                <w:rFonts w:cs="Calibri"/>
                <w:sz w:val="24"/>
                <w:szCs w:val="24"/>
                <w:lang w:val="en-CA"/>
              </w:rPr>
            </w:pPr>
            <w:r w:rsidRPr="00987BFC">
              <w:rPr>
                <w:rFonts w:cs="Calibri"/>
                <w:b/>
                <w:sz w:val="24"/>
                <w:szCs w:val="24"/>
                <w:lang w:val="en-CA"/>
              </w:rPr>
              <w:t>Food Security</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Distribution of CRIs</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refugee families/ individuals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Preferably given on day of arrival and latest on second day</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GFD</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refugee families/ individuals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Distribution center with shade, water and latrine</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One month ration</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lastRenderedPageBreak/>
              <w:t>Alternative energy</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refugee families/ individuals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Short, medium and long term solutions needed</w:t>
            </w:r>
          </w:p>
        </w:tc>
      </w:tr>
      <w:tr w:rsidR="00344521" w:rsidRPr="00767A0A" w:rsidTr="00F87216">
        <w:tc>
          <w:tcPr>
            <w:tcW w:w="1697"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Complementary food</w:t>
            </w:r>
          </w:p>
        </w:tc>
        <w:tc>
          <w:tcPr>
            <w:tcW w:w="1498"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All refugee families/ individuals</w:t>
            </w:r>
          </w:p>
        </w:tc>
        <w:tc>
          <w:tcPr>
            <w:tcW w:w="1805" w:type="pct"/>
            <w:tcBorders>
              <w:top w:val="single" w:sz="4" w:space="0" w:color="auto"/>
              <w:left w:val="single" w:sz="4" w:space="0" w:color="auto"/>
              <w:bottom w:val="single" w:sz="4" w:space="0" w:color="auto"/>
              <w:right w:val="single" w:sz="4" w:space="0" w:color="auto"/>
            </w:tcBorders>
            <w:shd w:val="clear" w:color="auto" w:fill="auto"/>
          </w:tcPr>
          <w:p w:rsidR="00344521" w:rsidRPr="00767A0A" w:rsidRDefault="00614AEB" w:rsidP="00F87216">
            <w:pPr>
              <w:spacing w:before="120" w:after="120" w:line="240" w:lineRule="auto"/>
              <w:rPr>
                <w:rFonts w:cs="Calibri"/>
                <w:sz w:val="24"/>
                <w:szCs w:val="24"/>
                <w:lang w:val="en-CA"/>
              </w:rPr>
            </w:pPr>
            <w:r>
              <w:rPr>
                <w:rFonts w:cs="Calibri"/>
                <w:sz w:val="24"/>
                <w:szCs w:val="24"/>
                <w:lang w:val="en-CA"/>
              </w:rPr>
              <w:t>Enhances</w:t>
            </w:r>
            <w:r w:rsidR="00344521" w:rsidRPr="00767A0A">
              <w:rPr>
                <w:rFonts w:cs="Calibri"/>
                <w:sz w:val="24"/>
                <w:szCs w:val="24"/>
                <w:lang w:val="en-CA"/>
              </w:rPr>
              <w:t xml:space="preserve"> access to food commodities not provided in GFD basket </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Would require UNHCR receiving funding from a food donor (not typical)</w:t>
            </w:r>
          </w:p>
          <w:p w:rsidR="00344521" w:rsidRPr="00767A0A" w:rsidRDefault="00344521" w:rsidP="00F87216">
            <w:pPr>
              <w:spacing w:before="120" w:after="120" w:line="240" w:lineRule="auto"/>
              <w:rPr>
                <w:rFonts w:cs="Calibri"/>
                <w:sz w:val="24"/>
                <w:szCs w:val="24"/>
                <w:lang w:val="en-CA"/>
              </w:rPr>
            </w:pPr>
            <w:r w:rsidRPr="00767A0A">
              <w:rPr>
                <w:rFonts w:cs="Calibri"/>
                <w:sz w:val="24"/>
                <w:szCs w:val="24"/>
                <w:lang w:val="en-CA"/>
              </w:rPr>
              <w:t xml:space="preserve">If </w:t>
            </w:r>
            <w:r>
              <w:rPr>
                <w:rFonts w:cs="Calibri"/>
                <w:sz w:val="24"/>
                <w:szCs w:val="24"/>
                <w:lang w:val="en-CA"/>
              </w:rPr>
              <w:t>feasible,</w:t>
            </w:r>
            <w:r w:rsidRPr="00767A0A">
              <w:rPr>
                <w:rFonts w:cs="Calibri"/>
                <w:sz w:val="24"/>
                <w:szCs w:val="24"/>
                <w:lang w:val="en-CA"/>
              </w:rPr>
              <w:t xml:space="preserve"> cash should be considered based on market analysis and feasibility.</w:t>
            </w:r>
          </w:p>
        </w:tc>
      </w:tr>
    </w:tbl>
    <w:p w:rsidR="00344521" w:rsidRDefault="00344521" w:rsidP="00344521">
      <w:pPr>
        <w:pStyle w:val="Heading2"/>
        <w:rPr>
          <w:rFonts w:asciiTheme="minorHAnsi" w:hAnsiTheme="minorHAnsi"/>
          <w:sz w:val="24"/>
          <w:szCs w:val="24"/>
        </w:rPr>
      </w:pPr>
      <w:r>
        <w:rPr>
          <w:rFonts w:asciiTheme="minorHAnsi" w:hAnsiTheme="minorHAnsi"/>
          <w:sz w:val="24"/>
          <w:szCs w:val="24"/>
        </w:rPr>
        <w:t>Mapping</w:t>
      </w:r>
    </w:p>
    <w:p w:rsidR="00344521" w:rsidRPr="00BC5EB6" w:rsidRDefault="00344521" w:rsidP="00BC5EB6">
      <w:pPr>
        <w:jc w:val="both"/>
        <w:rPr>
          <w:sz w:val="24"/>
          <w:szCs w:val="24"/>
        </w:rPr>
      </w:pPr>
      <w:r w:rsidRPr="00BC5EB6">
        <w:rPr>
          <w:sz w:val="24"/>
          <w:szCs w:val="24"/>
        </w:rPr>
        <w:t>Arrange with UNHCR site planner/ Information Management Officer (IMO) for mapping location and type/level of health services and service providers (government, not-for-profit and private) in areas where refugees are residing including transit locations/ way stations.</w:t>
      </w:r>
    </w:p>
    <w:p w:rsidR="00344521" w:rsidRPr="00BC5EB6" w:rsidRDefault="00344521" w:rsidP="00BC5EB6">
      <w:pPr>
        <w:jc w:val="both"/>
        <w:rPr>
          <w:sz w:val="24"/>
          <w:szCs w:val="24"/>
        </w:rPr>
      </w:pPr>
      <w:r w:rsidRPr="00BC5EB6">
        <w:rPr>
          <w:sz w:val="24"/>
          <w:szCs w:val="24"/>
        </w:rPr>
        <w:t>Gaps in service provision will be highlighted and mechanisms identified to fill these gaps (e.g. if certain health centres are sub-standard, certain hospitals do not have specific specialties).</w:t>
      </w:r>
    </w:p>
    <w:p w:rsidR="00614AEB" w:rsidRDefault="00614AEB">
      <w:pPr>
        <w:spacing w:after="160" w:line="259" w:lineRule="auto"/>
        <w:rPr>
          <w:rFonts w:eastAsiaTheme="majorEastAsia" w:cstheme="majorBidi"/>
          <w:b/>
          <w:bCs/>
          <w:color w:val="5B9BD5" w:themeColor="accent1"/>
          <w:sz w:val="24"/>
          <w:szCs w:val="24"/>
        </w:rPr>
      </w:pPr>
      <w:r>
        <w:rPr>
          <w:sz w:val="24"/>
          <w:szCs w:val="24"/>
        </w:rPr>
        <w:br w:type="page"/>
      </w:r>
    </w:p>
    <w:p w:rsidR="00344521" w:rsidRPr="00767A0A" w:rsidRDefault="00344521" w:rsidP="00344521">
      <w:pPr>
        <w:pStyle w:val="Heading2"/>
        <w:rPr>
          <w:rFonts w:asciiTheme="minorHAnsi" w:hAnsiTheme="minorHAnsi"/>
          <w:sz w:val="24"/>
          <w:szCs w:val="24"/>
        </w:rPr>
      </w:pPr>
      <w:r w:rsidRPr="00767A0A">
        <w:rPr>
          <w:rFonts w:asciiTheme="minorHAnsi" w:hAnsiTheme="minorHAnsi"/>
          <w:sz w:val="24"/>
          <w:szCs w:val="24"/>
        </w:rPr>
        <w:lastRenderedPageBreak/>
        <w:t>Templates</w:t>
      </w:r>
    </w:p>
    <w:p w:rsidR="00344521" w:rsidRPr="00767A0A" w:rsidRDefault="00344521" w:rsidP="00344521">
      <w:pPr>
        <w:pStyle w:val="Heading3"/>
        <w:numPr>
          <w:ilvl w:val="0"/>
          <w:numId w:val="8"/>
        </w:numPr>
        <w:rPr>
          <w:rFonts w:asciiTheme="minorHAnsi" w:hAnsiTheme="minorHAnsi"/>
          <w:sz w:val="24"/>
          <w:szCs w:val="24"/>
        </w:rPr>
      </w:pPr>
      <w:r w:rsidRPr="00767A0A">
        <w:rPr>
          <w:rFonts w:asciiTheme="minorHAnsi" w:hAnsiTheme="minorHAnsi"/>
          <w:sz w:val="24"/>
          <w:szCs w:val="24"/>
        </w:rPr>
        <w:t xml:space="preserve">Accountability matrix (refer to detailed excel format attached) </w:t>
      </w:r>
    </w:p>
    <w:tbl>
      <w:tblPr>
        <w:tblStyle w:val="TableGrid"/>
        <w:tblW w:w="0" w:type="auto"/>
        <w:tblLook w:val="04A0" w:firstRow="1" w:lastRow="0" w:firstColumn="1" w:lastColumn="0" w:noHBand="0" w:noVBand="1"/>
      </w:tblPr>
      <w:tblGrid>
        <w:gridCol w:w="1391"/>
        <w:gridCol w:w="1432"/>
        <w:gridCol w:w="1254"/>
        <w:gridCol w:w="1708"/>
        <w:gridCol w:w="1895"/>
        <w:gridCol w:w="1562"/>
      </w:tblGrid>
      <w:tr w:rsidR="00344521" w:rsidRPr="00767A0A" w:rsidTr="00F87216">
        <w:tc>
          <w:tcPr>
            <w:tcW w:w="1391" w:type="dxa"/>
          </w:tcPr>
          <w:p w:rsidR="00344521" w:rsidRPr="00767A0A" w:rsidRDefault="00344521" w:rsidP="00F87216">
            <w:pPr>
              <w:jc w:val="both"/>
              <w:rPr>
                <w:b/>
                <w:sz w:val="24"/>
                <w:szCs w:val="24"/>
                <w:lang w:val="en-US"/>
              </w:rPr>
            </w:pPr>
            <w:r w:rsidRPr="00767A0A">
              <w:rPr>
                <w:b/>
                <w:sz w:val="24"/>
                <w:szCs w:val="24"/>
                <w:lang w:val="en-US"/>
              </w:rPr>
              <w:t xml:space="preserve">What </w:t>
            </w:r>
          </w:p>
        </w:tc>
        <w:tc>
          <w:tcPr>
            <w:tcW w:w="1432" w:type="dxa"/>
          </w:tcPr>
          <w:p w:rsidR="00344521" w:rsidRPr="00767A0A" w:rsidRDefault="00344521" w:rsidP="00F87216">
            <w:pPr>
              <w:jc w:val="both"/>
              <w:rPr>
                <w:b/>
                <w:sz w:val="24"/>
                <w:szCs w:val="24"/>
                <w:lang w:val="en-US"/>
              </w:rPr>
            </w:pPr>
            <w:r w:rsidRPr="00767A0A">
              <w:rPr>
                <w:b/>
                <w:sz w:val="24"/>
                <w:szCs w:val="24"/>
                <w:lang w:val="en-US"/>
              </w:rPr>
              <w:t xml:space="preserve">Where </w:t>
            </w:r>
          </w:p>
        </w:tc>
        <w:tc>
          <w:tcPr>
            <w:tcW w:w="1254" w:type="dxa"/>
          </w:tcPr>
          <w:p w:rsidR="00344521" w:rsidRPr="00767A0A" w:rsidRDefault="00344521" w:rsidP="00F87216">
            <w:pPr>
              <w:jc w:val="both"/>
              <w:rPr>
                <w:b/>
                <w:sz w:val="24"/>
                <w:szCs w:val="24"/>
                <w:lang w:val="en-US"/>
              </w:rPr>
            </w:pPr>
            <w:r w:rsidRPr="00767A0A">
              <w:rPr>
                <w:b/>
                <w:sz w:val="24"/>
                <w:szCs w:val="24"/>
                <w:lang w:val="en-US"/>
              </w:rPr>
              <w:t xml:space="preserve">Who </w:t>
            </w:r>
          </w:p>
        </w:tc>
        <w:tc>
          <w:tcPr>
            <w:tcW w:w="1708" w:type="dxa"/>
          </w:tcPr>
          <w:p w:rsidR="00344521" w:rsidRPr="00767A0A" w:rsidRDefault="00344521" w:rsidP="00F87216">
            <w:pPr>
              <w:jc w:val="both"/>
              <w:rPr>
                <w:b/>
                <w:sz w:val="24"/>
                <w:szCs w:val="24"/>
                <w:lang w:val="en-US"/>
              </w:rPr>
            </w:pPr>
            <w:r w:rsidRPr="00767A0A">
              <w:rPr>
                <w:b/>
                <w:sz w:val="24"/>
                <w:szCs w:val="24"/>
                <w:lang w:val="en-US"/>
              </w:rPr>
              <w:t>When</w:t>
            </w:r>
          </w:p>
        </w:tc>
        <w:tc>
          <w:tcPr>
            <w:tcW w:w="1895" w:type="dxa"/>
          </w:tcPr>
          <w:p w:rsidR="00344521" w:rsidRPr="00767A0A" w:rsidRDefault="00344521" w:rsidP="00F87216">
            <w:pPr>
              <w:jc w:val="both"/>
              <w:rPr>
                <w:b/>
                <w:sz w:val="24"/>
                <w:szCs w:val="24"/>
                <w:lang w:val="en-US"/>
              </w:rPr>
            </w:pPr>
            <w:r w:rsidRPr="00767A0A">
              <w:rPr>
                <w:b/>
                <w:sz w:val="24"/>
                <w:szCs w:val="24"/>
                <w:lang w:val="en-US"/>
              </w:rPr>
              <w:t>Frequency</w:t>
            </w:r>
          </w:p>
        </w:tc>
        <w:tc>
          <w:tcPr>
            <w:tcW w:w="1562" w:type="dxa"/>
          </w:tcPr>
          <w:p w:rsidR="00344521" w:rsidRPr="00767A0A" w:rsidRDefault="00344521" w:rsidP="00F87216">
            <w:pPr>
              <w:jc w:val="both"/>
              <w:rPr>
                <w:b/>
                <w:sz w:val="24"/>
                <w:szCs w:val="24"/>
                <w:lang w:val="en-US"/>
              </w:rPr>
            </w:pPr>
            <w:r w:rsidRPr="00767A0A">
              <w:rPr>
                <w:b/>
                <w:sz w:val="24"/>
                <w:szCs w:val="24"/>
                <w:lang w:val="en-US"/>
              </w:rPr>
              <w:t>Status</w:t>
            </w:r>
          </w:p>
        </w:tc>
      </w:tr>
      <w:tr w:rsidR="00344521" w:rsidRPr="00767A0A" w:rsidTr="00F87216">
        <w:tc>
          <w:tcPr>
            <w:tcW w:w="1391" w:type="dxa"/>
          </w:tcPr>
          <w:p w:rsidR="00344521" w:rsidRPr="00767A0A" w:rsidRDefault="00344521" w:rsidP="00F87216">
            <w:pPr>
              <w:jc w:val="both"/>
              <w:rPr>
                <w:sz w:val="24"/>
                <w:szCs w:val="24"/>
                <w:lang w:val="en-US"/>
              </w:rPr>
            </w:pPr>
          </w:p>
        </w:tc>
        <w:tc>
          <w:tcPr>
            <w:tcW w:w="1432" w:type="dxa"/>
          </w:tcPr>
          <w:p w:rsidR="00344521" w:rsidRPr="00767A0A" w:rsidRDefault="00344521" w:rsidP="00F87216">
            <w:pPr>
              <w:jc w:val="both"/>
              <w:rPr>
                <w:sz w:val="24"/>
                <w:szCs w:val="24"/>
                <w:lang w:val="en-US"/>
              </w:rPr>
            </w:pPr>
          </w:p>
        </w:tc>
        <w:tc>
          <w:tcPr>
            <w:tcW w:w="1254" w:type="dxa"/>
          </w:tcPr>
          <w:p w:rsidR="00344521" w:rsidRPr="00767A0A" w:rsidRDefault="00344521" w:rsidP="00F87216">
            <w:pPr>
              <w:jc w:val="both"/>
              <w:rPr>
                <w:sz w:val="24"/>
                <w:szCs w:val="24"/>
                <w:lang w:val="en-US"/>
              </w:rPr>
            </w:pPr>
          </w:p>
        </w:tc>
        <w:tc>
          <w:tcPr>
            <w:tcW w:w="1708" w:type="dxa"/>
          </w:tcPr>
          <w:p w:rsidR="00344521" w:rsidRPr="00767A0A" w:rsidRDefault="00344521" w:rsidP="00F87216">
            <w:pPr>
              <w:jc w:val="both"/>
              <w:rPr>
                <w:sz w:val="24"/>
                <w:szCs w:val="24"/>
                <w:lang w:val="en-US"/>
              </w:rPr>
            </w:pPr>
          </w:p>
        </w:tc>
        <w:tc>
          <w:tcPr>
            <w:tcW w:w="1895" w:type="dxa"/>
          </w:tcPr>
          <w:p w:rsidR="00344521" w:rsidRPr="00767A0A" w:rsidRDefault="00344521" w:rsidP="00F87216">
            <w:pPr>
              <w:jc w:val="both"/>
              <w:rPr>
                <w:sz w:val="24"/>
                <w:szCs w:val="24"/>
                <w:lang w:val="en-US"/>
              </w:rPr>
            </w:pPr>
          </w:p>
        </w:tc>
        <w:tc>
          <w:tcPr>
            <w:tcW w:w="1562" w:type="dxa"/>
          </w:tcPr>
          <w:p w:rsidR="00344521" w:rsidRPr="00767A0A" w:rsidRDefault="00344521" w:rsidP="00F87216">
            <w:pPr>
              <w:jc w:val="both"/>
              <w:rPr>
                <w:sz w:val="24"/>
                <w:szCs w:val="24"/>
                <w:lang w:val="en-US"/>
              </w:rPr>
            </w:pPr>
          </w:p>
        </w:tc>
      </w:tr>
      <w:tr w:rsidR="00344521" w:rsidRPr="00767A0A" w:rsidTr="00F87216">
        <w:tc>
          <w:tcPr>
            <w:tcW w:w="1391" w:type="dxa"/>
          </w:tcPr>
          <w:p w:rsidR="00344521" w:rsidRPr="00767A0A" w:rsidRDefault="00344521" w:rsidP="00F87216">
            <w:pPr>
              <w:jc w:val="both"/>
              <w:rPr>
                <w:sz w:val="24"/>
                <w:szCs w:val="24"/>
                <w:lang w:val="en-US"/>
              </w:rPr>
            </w:pPr>
          </w:p>
        </w:tc>
        <w:tc>
          <w:tcPr>
            <w:tcW w:w="1432" w:type="dxa"/>
          </w:tcPr>
          <w:p w:rsidR="00344521" w:rsidRPr="00767A0A" w:rsidRDefault="00344521" w:rsidP="00F87216">
            <w:pPr>
              <w:jc w:val="both"/>
              <w:rPr>
                <w:sz w:val="24"/>
                <w:szCs w:val="24"/>
                <w:lang w:val="en-US"/>
              </w:rPr>
            </w:pPr>
          </w:p>
        </w:tc>
        <w:tc>
          <w:tcPr>
            <w:tcW w:w="1254" w:type="dxa"/>
          </w:tcPr>
          <w:p w:rsidR="00344521" w:rsidRPr="00767A0A" w:rsidRDefault="00344521" w:rsidP="00F87216">
            <w:pPr>
              <w:jc w:val="both"/>
              <w:rPr>
                <w:sz w:val="24"/>
                <w:szCs w:val="24"/>
                <w:lang w:val="en-US"/>
              </w:rPr>
            </w:pPr>
          </w:p>
        </w:tc>
        <w:tc>
          <w:tcPr>
            <w:tcW w:w="1708" w:type="dxa"/>
          </w:tcPr>
          <w:p w:rsidR="00344521" w:rsidRPr="00767A0A" w:rsidRDefault="00344521" w:rsidP="00F87216">
            <w:pPr>
              <w:jc w:val="both"/>
              <w:rPr>
                <w:sz w:val="24"/>
                <w:szCs w:val="24"/>
                <w:lang w:val="en-US"/>
              </w:rPr>
            </w:pPr>
          </w:p>
        </w:tc>
        <w:tc>
          <w:tcPr>
            <w:tcW w:w="1895" w:type="dxa"/>
          </w:tcPr>
          <w:p w:rsidR="00344521" w:rsidRPr="00767A0A" w:rsidRDefault="00344521" w:rsidP="00F87216">
            <w:pPr>
              <w:jc w:val="both"/>
              <w:rPr>
                <w:sz w:val="24"/>
                <w:szCs w:val="24"/>
                <w:lang w:val="en-US"/>
              </w:rPr>
            </w:pPr>
          </w:p>
        </w:tc>
        <w:tc>
          <w:tcPr>
            <w:tcW w:w="1562" w:type="dxa"/>
          </w:tcPr>
          <w:p w:rsidR="00344521" w:rsidRPr="00767A0A" w:rsidRDefault="00344521" w:rsidP="00F87216">
            <w:pPr>
              <w:jc w:val="both"/>
              <w:rPr>
                <w:sz w:val="24"/>
                <w:szCs w:val="24"/>
                <w:lang w:val="en-US"/>
              </w:rPr>
            </w:pPr>
          </w:p>
        </w:tc>
      </w:tr>
      <w:tr w:rsidR="00344521" w:rsidRPr="00767A0A" w:rsidTr="00F87216">
        <w:tc>
          <w:tcPr>
            <w:tcW w:w="1391" w:type="dxa"/>
          </w:tcPr>
          <w:p w:rsidR="00344521" w:rsidRPr="00767A0A" w:rsidRDefault="00344521" w:rsidP="00F87216">
            <w:pPr>
              <w:jc w:val="both"/>
              <w:rPr>
                <w:sz w:val="24"/>
                <w:szCs w:val="24"/>
                <w:lang w:val="en-US"/>
              </w:rPr>
            </w:pPr>
          </w:p>
        </w:tc>
        <w:tc>
          <w:tcPr>
            <w:tcW w:w="1432" w:type="dxa"/>
          </w:tcPr>
          <w:p w:rsidR="00344521" w:rsidRPr="00767A0A" w:rsidRDefault="00344521" w:rsidP="00F87216">
            <w:pPr>
              <w:jc w:val="both"/>
              <w:rPr>
                <w:sz w:val="24"/>
                <w:szCs w:val="24"/>
                <w:lang w:val="en-US"/>
              </w:rPr>
            </w:pPr>
          </w:p>
        </w:tc>
        <w:tc>
          <w:tcPr>
            <w:tcW w:w="1254" w:type="dxa"/>
          </w:tcPr>
          <w:p w:rsidR="00344521" w:rsidRPr="00767A0A" w:rsidRDefault="00344521" w:rsidP="00F87216">
            <w:pPr>
              <w:jc w:val="both"/>
              <w:rPr>
                <w:sz w:val="24"/>
                <w:szCs w:val="24"/>
                <w:lang w:val="en-US"/>
              </w:rPr>
            </w:pPr>
          </w:p>
        </w:tc>
        <w:tc>
          <w:tcPr>
            <w:tcW w:w="1708" w:type="dxa"/>
          </w:tcPr>
          <w:p w:rsidR="00344521" w:rsidRPr="00767A0A" w:rsidRDefault="00344521" w:rsidP="00F87216">
            <w:pPr>
              <w:jc w:val="both"/>
              <w:rPr>
                <w:sz w:val="24"/>
                <w:szCs w:val="24"/>
                <w:lang w:val="en-US"/>
              </w:rPr>
            </w:pPr>
          </w:p>
        </w:tc>
        <w:tc>
          <w:tcPr>
            <w:tcW w:w="1895" w:type="dxa"/>
          </w:tcPr>
          <w:p w:rsidR="00344521" w:rsidRPr="00767A0A" w:rsidRDefault="00344521" w:rsidP="00F87216">
            <w:pPr>
              <w:jc w:val="both"/>
              <w:rPr>
                <w:sz w:val="24"/>
                <w:szCs w:val="24"/>
                <w:lang w:val="en-US"/>
              </w:rPr>
            </w:pPr>
          </w:p>
        </w:tc>
        <w:tc>
          <w:tcPr>
            <w:tcW w:w="1562" w:type="dxa"/>
          </w:tcPr>
          <w:p w:rsidR="00344521" w:rsidRPr="00767A0A" w:rsidRDefault="00344521" w:rsidP="00F87216">
            <w:pPr>
              <w:jc w:val="both"/>
              <w:rPr>
                <w:sz w:val="24"/>
                <w:szCs w:val="24"/>
                <w:lang w:val="en-US"/>
              </w:rPr>
            </w:pPr>
          </w:p>
        </w:tc>
      </w:tr>
    </w:tbl>
    <w:p w:rsidR="00344521" w:rsidRPr="00767A0A" w:rsidRDefault="00344521" w:rsidP="00344521">
      <w:pPr>
        <w:pStyle w:val="Heading3"/>
        <w:numPr>
          <w:ilvl w:val="0"/>
          <w:numId w:val="8"/>
        </w:numPr>
        <w:rPr>
          <w:rFonts w:asciiTheme="minorHAnsi" w:eastAsia="Times New Roman" w:hAnsiTheme="minorHAnsi"/>
          <w:snapToGrid w:val="0"/>
          <w:sz w:val="24"/>
          <w:szCs w:val="24"/>
        </w:rPr>
      </w:pPr>
      <w:r w:rsidRPr="00767A0A">
        <w:rPr>
          <w:rFonts w:asciiTheme="minorHAnsi" w:eastAsia="Times New Roman" w:hAnsiTheme="minorHAnsi"/>
          <w:snapToGrid w:val="0"/>
          <w:sz w:val="24"/>
          <w:szCs w:val="24"/>
        </w:rPr>
        <w:t xml:space="preserve">Recommended health work force in UNHCR supported health facilities </w:t>
      </w:r>
    </w:p>
    <w:p w:rsidR="00344521" w:rsidRPr="00767A0A" w:rsidRDefault="00344521" w:rsidP="00344521">
      <w:pPr>
        <w:rPr>
          <w:snapToGrid w:val="0"/>
          <w:sz w:val="24"/>
          <w:szCs w:val="24"/>
        </w:rPr>
      </w:pPr>
      <w:r w:rsidRPr="00767A0A">
        <w:rPr>
          <w:rFonts w:eastAsia="Times New Roman"/>
          <w:snapToGrid w:val="0"/>
          <w:sz w:val="24"/>
          <w:szCs w:val="24"/>
        </w:rPr>
        <w:t>(</w:t>
      </w:r>
      <w:r w:rsidRPr="00767A0A">
        <w:rPr>
          <w:snapToGrid w:val="0"/>
          <w:sz w:val="24"/>
          <w:szCs w:val="24"/>
        </w:rPr>
        <w:t>To be adapted to context</w:t>
      </w:r>
      <w:r w:rsidRPr="00767A0A">
        <w:rPr>
          <w:rFonts w:eastAsia="Times New Roman"/>
          <w:snapToGrid w:val="0"/>
          <w:sz w:val="24"/>
          <w:szCs w:val="24"/>
        </w:rPr>
        <w:t>)</w:t>
      </w:r>
      <w:r w:rsidRPr="00767A0A">
        <w:rPr>
          <w:snapToGrid w:val="0"/>
          <w:sz w:val="24"/>
          <w:szCs w:val="24"/>
        </w:rPr>
        <w:t xml:space="preserve"> </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855"/>
        <w:gridCol w:w="5244"/>
      </w:tblGrid>
      <w:tr w:rsidR="00344521" w:rsidRPr="00767A0A" w:rsidTr="00F87216">
        <w:tc>
          <w:tcPr>
            <w:tcW w:w="3855" w:type="dxa"/>
            <w:shd w:val="clear" w:color="auto" w:fill="F3F3F3"/>
          </w:tcPr>
          <w:p w:rsidR="00344521" w:rsidRPr="00767A0A" w:rsidRDefault="00344521" w:rsidP="00F87216">
            <w:pPr>
              <w:spacing w:before="60" w:after="60" w:line="240" w:lineRule="auto"/>
              <w:ind w:left="34" w:right="-40"/>
              <w:rPr>
                <w:rFonts w:eastAsia="Times New Roman" w:cs="Times New Roman"/>
                <w:b/>
                <w:bCs/>
                <w:snapToGrid w:val="0"/>
                <w:sz w:val="24"/>
                <w:szCs w:val="24"/>
              </w:rPr>
            </w:pPr>
            <w:r w:rsidRPr="00767A0A">
              <w:rPr>
                <w:rFonts w:eastAsia="Times New Roman" w:cs="Times New Roman"/>
                <w:b/>
                <w:bCs/>
                <w:snapToGrid w:val="0"/>
                <w:sz w:val="24"/>
                <w:szCs w:val="24"/>
              </w:rPr>
              <w:t>Role</w:t>
            </w:r>
          </w:p>
        </w:tc>
        <w:tc>
          <w:tcPr>
            <w:tcW w:w="5244" w:type="dxa"/>
            <w:shd w:val="clear" w:color="auto" w:fill="F3F3F3"/>
          </w:tcPr>
          <w:p w:rsidR="00344521" w:rsidRPr="00767A0A" w:rsidRDefault="00344521" w:rsidP="00F87216">
            <w:pPr>
              <w:spacing w:before="60" w:after="60" w:line="240" w:lineRule="auto"/>
              <w:ind w:left="34" w:right="-40"/>
              <w:rPr>
                <w:rFonts w:eastAsia="Times New Roman" w:cs="Times New Roman"/>
                <w:b/>
                <w:bCs/>
                <w:snapToGrid w:val="0"/>
                <w:sz w:val="24"/>
                <w:szCs w:val="24"/>
              </w:rPr>
            </w:pPr>
            <w:r w:rsidRPr="00767A0A">
              <w:rPr>
                <w:rFonts w:eastAsia="Times New Roman" w:cs="Times New Roman"/>
                <w:b/>
                <w:bCs/>
                <w:snapToGrid w:val="0"/>
                <w:sz w:val="24"/>
                <w:szCs w:val="24"/>
              </w:rPr>
              <w:t>Number against population size</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Medical doctor</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&lt;30,000 or 1 per facility if smaller population</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Clinical consultant</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&lt;10,000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Nurses</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&lt;10,000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Psychiatric nurse / clinical officer trained in mental health</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&lt;50,000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Visiting psychiatrist and psychologist (if available in country)</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2 days per month &lt; 50,000 </w:t>
            </w:r>
          </w:p>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(increase days for &gt; 50,000 persons)</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Qualified pharmacist</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 50,000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Pharmacist assistant (dispenser)</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&lt;20,000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Qualified laboratory technician</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1 : &lt;15,000 </w:t>
            </w:r>
          </w:p>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( 1 per 30 test per day)</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Midwives</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5 : </w:t>
            </w:r>
            <w:smartTag w:uri="urn:schemas-microsoft-com:office:smarttags" w:element="stockticker">
              <w:r w:rsidRPr="00767A0A">
                <w:rPr>
                  <w:rFonts w:eastAsia="Times New Roman" w:cs="Times New Roman"/>
                  <w:snapToGrid w:val="0"/>
                  <w:sz w:val="24"/>
                  <w:szCs w:val="24"/>
                </w:rPr>
                <w:t>MCH</w:t>
              </w:r>
            </w:smartTag>
            <w:r w:rsidRPr="00767A0A">
              <w:rPr>
                <w:rFonts w:eastAsia="Times New Roman" w:cs="Times New Roman"/>
                <w:snapToGrid w:val="0"/>
                <w:sz w:val="24"/>
                <w:szCs w:val="24"/>
              </w:rPr>
              <w:t xml:space="preserve">/maternity wards </w:t>
            </w:r>
          </w:p>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2: &lt;10,000 </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HIV counsellor</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&lt; 50,000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Nutrition supervisor</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per camp (&lt;10,000)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Nutrition auxiliary workers</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lang w:val="it-IT"/>
              </w:rPr>
            </w:pPr>
            <w:r w:rsidRPr="00767A0A">
              <w:rPr>
                <w:rFonts w:eastAsia="Times New Roman" w:cs="Times New Roman"/>
                <w:snapToGrid w:val="0"/>
                <w:sz w:val="24"/>
                <w:szCs w:val="24"/>
                <w:lang w:val="it-IT"/>
              </w:rPr>
              <w:t xml:space="preserve">4 per centre or </w:t>
            </w:r>
          </w:p>
          <w:p w:rsidR="00344521" w:rsidRPr="00767A0A" w:rsidRDefault="00344521" w:rsidP="00F87216">
            <w:pPr>
              <w:spacing w:before="60" w:after="60" w:line="240" w:lineRule="auto"/>
              <w:ind w:left="34" w:right="-40"/>
              <w:rPr>
                <w:rFonts w:eastAsia="Times New Roman" w:cs="Times New Roman"/>
                <w:snapToGrid w:val="0"/>
                <w:sz w:val="24"/>
                <w:szCs w:val="24"/>
                <w:lang w:val="it-IT"/>
              </w:rPr>
            </w:pPr>
            <w:r w:rsidRPr="00767A0A">
              <w:rPr>
                <w:rFonts w:eastAsia="Times New Roman" w:cs="Times New Roman"/>
                <w:snapToGrid w:val="0"/>
                <w:sz w:val="24"/>
                <w:szCs w:val="24"/>
                <w:lang w:val="it-IT"/>
              </w:rPr>
              <w:t>4 per OTP (per camp &lt;10,000)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Nutrition Community Health Workers</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1,500 in camps where GAM is above 10%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Community Health Workers (CHW)</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1: </w:t>
            </w:r>
            <w:r>
              <w:rPr>
                <w:rFonts w:eastAsia="Times New Roman" w:cs="Times New Roman"/>
                <w:snapToGrid w:val="0"/>
                <w:sz w:val="24"/>
                <w:szCs w:val="24"/>
              </w:rPr>
              <w:t xml:space="preserve">250 (emergency), 1: </w:t>
            </w:r>
            <w:r w:rsidRPr="00767A0A">
              <w:rPr>
                <w:rFonts w:eastAsia="Times New Roman" w:cs="Times New Roman"/>
                <w:snapToGrid w:val="0"/>
                <w:sz w:val="24"/>
                <w:szCs w:val="24"/>
              </w:rPr>
              <w:t>1,000</w:t>
            </w:r>
            <w:r>
              <w:rPr>
                <w:rFonts w:eastAsia="Times New Roman" w:cs="Times New Roman"/>
                <w:snapToGrid w:val="0"/>
                <w:sz w:val="24"/>
                <w:szCs w:val="24"/>
              </w:rPr>
              <w:t xml:space="preserve"> (post-emergency)</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Specialist CHW for mental health and psycho social support</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1: 2,500</w:t>
            </w:r>
          </w:p>
        </w:tc>
      </w:tr>
      <w:tr w:rsidR="00344521" w:rsidRPr="00767A0A" w:rsidTr="00F87216">
        <w:tc>
          <w:tcPr>
            <w:tcW w:w="3855"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Specialist CHW for RH and HIV </w:t>
            </w:r>
          </w:p>
        </w:tc>
        <w:tc>
          <w:tcPr>
            <w:tcW w:w="5244" w:type="dxa"/>
            <w:shd w:val="clear" w:color="auto" w:fill="auto"/>
          </w:tcPr>
          <w:p w:rsidR="00344521" w:rsidRPr="00767A0A" w:rsidRDefault="00344521" w:rsidP="00F87216">
            <w:pPr>
              <w:spacing w:before="60" w:after="60" w:line="240" w:lineRule="auto"/>
              <w:ind w:left="34" w:right="-40"/>
              <w:rPr>
                <w:rFonts w:eastAsia="Times New Roman" w:cs="Times New Roman"/>
                <w:snapToGrid w:val="0"/>
                <w:sz w:val="24"/>
                <w:szCs w:val="24"/>
              </w:rPr>
            </w:pPr>
            <w:r w:rsidRPr="00767A0A">
              <w:rPr>
                <w:rFonts w:eastAsia="Times New Roman" w:cs="Times New Roman"/>
                <w:snapToGrid w:val="0"/>
                <w:sz w:val="24"/>
                <w:szCs w:val="24"/>
              </w:rPr>
              <w:t xml:space="preserve">1: 2,000 </w:t>
            </w:r>
          </w:p>
        </w:tc>
      </w:tr>
    </w:tbl>
    <w:p w:rsidR="00614AEB" w:rsidRDefault="00614AEB" w:rsidP="00614AEB">
      <w:pPr>
        <w:rPr>
          <w:rFonts w:eastAsiaTheme="majorEastAsia" w:cstheme="majorBidi"/>
          <w:color w:val="5B9BD5" w:themeColor="accent1"/>
        </w:rPr>
      </w:pPr>
      <w:r>
        <w:lastRenderedPageBreak/>
        <w:br w:type="page"/>
      </w:r>
    </w:p>
    <w:p w:rsidR="00344521" w:rsidRPr="00767A0A" w:rsidRDefault="00344521" w:rsidP="00344521">
      <w:pPr>
        <w:pStyle w:val="Heading2"/>
        <w:rPr>
          <w:rFonts w:asciiTheme="minorHAnsi" w:hAnsiTheme="minorHAnsi"/>
          <w:sz w:val="24"/>
          <w:szCs w:val="24"/>
        </w:rPr>
      </w:pPr>
      <w:r w:rsidRPr="00767A0A">
        <w:rPr>
          <w:rFonts w:asciiTheme="minorHAnsi" w:hAnsiTheme="minorHAnsi"/>
          <w:sz w:val="24"/>
          <w:szCs w:val="24"/>
        </w:rPr>
        <w:lastRenderedPageBreak/>
        <w:t>References</w:t>
      </w:r>
    </w:p>
    <w:p w:rsidR="00344521" w:rsidRPr="00767A0A" w:rsidRDefault="00344521" w:rsidP="00344521">
      <w:pPr>
        <w:pStyle w:val="ListParagraph"/>
        <w:numPr>
          <w:ilvl w:val="0"/>
          <w:numId w:val="6"/>
        </w:numPr>
        <w:jc w:val="both"/>
        <w:rPr>
          <w:sz w:val="24"/>
          <w:szCs w:val="24"/>
        </w:rPr>
      </w:pPr>
      <w:r w:rsidRPr="00767A0A">
        <w:rPr>
          <w:sz w:val="24"/>
          <w:szCs w:val="24"/>
        </w:rPr>
        <w:t xml:space="preserve">Global public health strategy, 2014-2015: </w:t>
      </w:r>
      <w:hyperlink r:id="rId10" w:history="1">
        <w:r w:rsidRPr="00767A0A">
          <w:rPr>
            <w:rStyle w:val="Hyperlink"/>
            <w:sz w:val="24"/>
            <w:szCs w:val="24"/>
          </w:rPr>
          <w:t>http://www.unhcr.org/530f12d26.pdf</w:t>
        </w:r>
      </w:hyperlink>
      <w:r w:rsidRPr="00767A0A">
        <w:rPr>
          <w:sz w:val="24"/>
          <w:szCs w:val="24"/>
        </w:rPr>
        <w:t xml:space="preserve"> </w:t>
      </w:r>
    </w:p>
    <w:p w:rsidR="00344521" w:rsidRPr="00767A0A" w:rsidRDefault="00344521" w:rsidP="00344521">
      <w:pPr>
        <w:pStyle w:val="ListParagraph"/>
        <w:numPr>
          <w:ilvl w:val="0"/>
          <w:numId w:val="6"/>
        </w:numPr>
        <w:jc w:val="both"/>
        <w:rPr>
          <w:sz w:val="24"/>
          <w:szCs w:val="24"/>
        </w:rPr>
      </w:pPr>
      <w:r w:rsidRPr="00767A0A">
        <w:rPr>
          <w:sz w:val="24"/>
          <w:szCs w:val="24"/>
        </w:rPr>
        <w:t xml:space="preserve">Digital Emergency Handbook: </w:t>
      </w:r>
      <w:hyperlink r:id="rId11" w:history="1">
        <w:r w:rsidRPr="00767A0A">
          <w:rPr>
            <w:rStyle w:val="Hyperlink"/>
            <w:sz w:val="24"/>
            <w:szCs w:val="24"/>
          </w:rPr>
          <w:t>https://emergency.unhcr.org</w:t>
        </w:r>
      </w:hyperlink>
      <w:r w:rsidRPr="00767A0A">
        <w:rPr>
          <w:sz w:val="24"/>
          <w:szCs w:val="24"/>
        </w:rPr>
        <w:t xml:space="preserve"> </w:t>
      </w:r>
    </w:p>
    <w:p w:rsidR="00344521" w:rsidRPr="00767A0A" w:rsidRDefault="00344521" w:rsidP="00344521">
      <w:pPr>
        <w:pStyle w:val="ListParagraph"/>
        <w:numPr>
          <w:ilvl w:val="0"/>
          <w:numId w:val="6"/>
        </w:numPr>
        <w:jc w:val="both"/>
        <w:rPr>
          <w:sz w:val="24"/>
          <w:szCs w:val="24"/>
        </w:rPr>
      </w:pPr>
      <w:r w:rsidRPr="00767A0A">
        <w:rPr>
          <w:sz w:val="24"/>
          <w:szCs w:val="24"/>
        </w:rPr>
        <w:t xml:space="preserve">Twine: </w:t>
      </w:r>
      <w:hyperlink r:id="rId12" w:history="1">
        <w:r w:rsidRPr="00767A0A">
          <w:rPr>
            <w:rStyle w:val="Hyperlink"/>
            <w:sz w:val="24"/>
            <w:szCs w:val="24"/>
          </w:rPr>
          <w:t>http://twine.unhcr.org/app/</w:t>
        </w:r>
      </w:hyperlink>
      <w:r w:rsidRPr="00767A0A">
        <w:rPr>
          <w:sz w:val="24"/>
          <w:szCs w:val="24"/>
        </w:rPr>
        <w:t xml:space="preserve"> </w:t>
      </w:r>
    </w:p>
    <w:p w:rsidR="00344521" w:rsidRPr="00767A0A" w:rsidRDefault="00344521" w:rsidP="00344521">
      <w:pPr>
        <w:pStyle w:val="ListParagraph"/>
        <w:numPr>
          <w:ilvl w:val="0"/>
          <w:numId w:val="6"/>
        </w:numPr>
        <w:jc w:val="both"/>
        <w:rPr>
          <w:sz w:val="24"/>
          <w:szCs w:val="24"/>
        </w:rPr>
      </w:pPr>
      <w:r w:rsidRPr="00767A0A">
        <w:rPr>
          <w:sz w:val="24"/>
          <w:szCs w:val="24"/>
        </w:rPr>
        <w:t xml:space="preserve">Ensuring access to health care: operational guidance on refugee protection and solutions in urban areas. UNHCR 2011. </w:t>
      </w:r>
      <w:hyperlink r:id="rId13" w:history="1">
        <w:r w:rsidRPr="00767A0A">
          <w:rPr>
            <w:rStyle w:val="Hyperlink"/>
            <w:sz w:val="24"/>
            <w:szCs w:val="24"/>
          </w:rPr>
          <w:t>http://www.unhcr.org/4e26c9c69.html</w:t>
        </w:r>
      </w:hyperlink>
      <w:r w:rsidRPr="00767A0A">
        <w:rPr>
          <w:sz w:val="24"/>
          <w:szCs w:val="24"/>
        </w:rPr>
        <w:t xml:space="preserve"> </w:t>
      </w:r>
    </w:p>
    <w:p w:rsidR="00344521" w:rsidRPr="00767A0A" w:rsidRDefault="00344521" w:rsidP="00344521">
      <w:pPr>
        <w:pStyle w:val="ListParagraph"/>
        <w:numPr>
          <w:ilvl w:val="0"/>
          <w:numId w:val="6"/>
        </w:numPr>
        <w:jc w:val="both"/>
        <w:rPr>
          <w:sz w:val="24"/>
          <w:szCs w:val="24"/>
        </w:rPr>
      </w:pPr>
      <w:r w:rsidRPr="00767A0A">
        <w:rPr>
          <w:sz w:val="24"/>
          <w:szCs w:val="24"/>
        </w:rPr>
        <w:t xml:space="preserve">UNHCR’s Essential Medicines and Medical Supplies Policy and Guidance. UNHCR, 2013. </w:t>
      </w:r>
      <w:hyperlink r:id="rId14" w:history="1">
        <w:r w:rsidRPr="00767A0A">
          <w:rPr>
            <w:rStyle w:val="Hyperlink"/>
            <w:sz w:val="24"/>
            <w:szCs w:val="24"/>
          </w:rPr>
          <w:t>http://www.unhcr.org/527baab09.html</w:t>
        </w:r>
      </w:hyperlink>
      <w:r w:rsidRPr="00767A0A">
        <w:rPr>
          <w:sz w:val="24"/>
          <w:szCs w:val="24"/>
        </w:rPr>
        <w:t xml:space="preserve"> </w:t>
      </w:r>
    </w:p>
    <w:p w:rsidR="00344521" w:rsidRPr="00EA4E72" w:rsidRDefault="00344521" w:rsidP="00344521">
      <w:pPr>
        <w:pStyle w:val="ListParagraph"/>
        <w:numPr>
          <w:ilvl w:val="0"/>
          <w:numId w:val="6"/>
        </w:numPr>
        <w:jc w:val="both"/>
        <w:rPr>
          <w:sz w:val="24"/>
          <w:szCs w:val="24"/>
        </w:rPr>
      </w:pPr>
      <w:r w:rsidRPr="00767A0A">
        <w:rPr>
          <w:sz w:val="24"/>
          <w:szCs w:val="24"/>
        </w:rPr>
        <w:t xml:space="preserve">UNHCR’s Principles and Guidance for referral Health Care for Refugees and Other </w:t>
      </w:r>
      <w:r w:rsidRPr="00EA4E72">
        <w:rPr>
          <w:sz w:val="24"/>
          <w:szCs w:val="24"/>
        </w:rPr>
        <w:t xml:space="preserve">Persons of Concern. UNHCR, 2009. </w:t>
      </w:r>
      <w:hyperlink r:id="rId15" w:history="1">
        <w:r w:rsidRPr="00EA4E72">
          <w:rPr>
            <w:rStyle w:val="Hyperlink"/>
            <w:sz w:val="24"/>
            <w:szCs w:val="24"/>
          </w:rPr>
          <w:t>http://www.unhcr.org/pages/49c3646cdd.html</w:t>
        </w:r>
      </w:hyperlink>
      <w:r w:rsidRPr="00EA4E72">
        <w:rPr>
          <w:sz w:val="24"/>
          <w:szCs w:val="24"/>
        </w:rPr>
        <w:t xml:space="preserve"> </w:t>
      </w:r>
    </w:p>
    <w:p w:rsidR="00344521" w:rsidRPr="00EA4E72" w:rsidRDefault="00344521" w:rsidP="00344521">
      <w:pPr>
        <w:pStyle w:val="ListParagraph"/>
        <w:numPr>
          <w:ilvl w:val="0"/>
          <w:numId w:val="6"/>
        </w:numPr>
        <w:spacing w:after="0" w:line="240" w:lineRule="auto"/>
        <w:ind w:right="-1"/>
        <w:jc w:val="both"/>
        <w:rPr>
          <w:rFonts w:cs="Calibri"/>
          <w:bCs/>
          <w:sz w:val="24"/>
          <w:szCs w:val="24"/>
        </w:rPr>
      </w:pPr>
      <w:r w:rsidRPr="00EA4E72">
        <w:rPr>
          <w:rFonts w:cs="Calibri"/>
          <w:bCs/>
          <w:sz w:val="24"/>
          <w:szCs w:val="24"/>
        </w:rPr>
        <w:t xml:space="preserve">Clinical Management of Mental, Neurological and Substance Use Conditions in Humanitarian Emergencies, mhGAP Humanitarian Intervention Guide (mhGAP-HIG) </w:t>
      </w:r>
      <w:hyperlink r:id="rId16" w:history="1">
        <w:r w:rsidRPr="00EA4E72">
          <w:rPr>
            <w:rStyle w:val="Hyperlink"/>
            <w:rFonts w:cs="Calibri"/>
            <w:bCs/>
            <w:sz w:val="24"/>
            <w:szCs w:val="24"/>
          </w:rPr>
          <w:t>http://apps.who.int/iris/bitstream/10665/162960/1/9789241548922_eng.pdf?ua=1</w:t>
        </w:r>
      </w:hyperlink>
      <w:r w:rsidRPr="00EA4E72">
        <w:rPr>
          <w:rFonts w:cs="Calibri"/>
          <w:bCs/>
          <w:sz w:val="24"/>
          <w:szCs w:val="24"/>
        </w:rPr>
        <w:t xml:space="preserve"> </w:t>
      </w:r>
    </w:p>
    <w:p w:rsidR="00344521" w:rsidRPr="00767A0A" w:rsidRDefault="00344521" w:rsidP="00344521">
      <w:pPr>
        <w:pStyle w:val="ListParagraph"/>
        <w:numPr>
          <w:ilvl w:val="0"/>
          <w:numId w:val="6"/>
        </w:numPr>
        <w:spacing w:after="0" w:line="240" w:lineRule="auto"/>
        <w:ind w:right="-1"/>
        <w:jc w:val="both"/>
        <w:rPr>
          <w:rFonts w:cs="Calibri"/>
          <w:bCs/>
          <w:sz w:val="24"/>
          <w:szCs w:val="24"/>
        </w:rPr>
      </w:pPr>
      <w:r w:rsidRPr="00767A0A">
        <w:rPr>
          <w:rFonts w:cs="Calibri"/>
          <w:bCs/>
          <w:sz w:val="24"/>
          <w:szCs w:val="24"/>
        </w:rPr>
        <w:t>Public Health Indicators and Standards:</w:t>
      </w:r>
    </w:p>
    <w:p w:rsidR="00344521" w:rsidRPr="00767A0A" w:rsidRDefault="00344521" w:rsidP="00344521">
      <w:pPr>
        <w:pStyle w:val="ListParagraph"/>
        <w:jc w:val="both"/>
        <w:rPr>
          <w:sz w:val="24"/>
          <w:szCs w:val="24"/>
        </w:rPr>
      </w:pPr>
      <w:r w:rsidRPr="00767A0A">
        <w:rPr>
          <w:sz w:val="24"/>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Excel.Sheet.8" ShapeID="_x0000_i1025" DrawAspect="Icon" ObjectID="_1502443741" r:id="rId18"/>
        </w:object>
      </w:r>
      <w:r w:rsidRPr="00767A0A">
        <w:rPr>
          <w:sz w:val="24"/>
          <w:szCs w:val="24"/>
        </w:rPr>
        <w:t xml:space="preserve">   </w:t>
      </w:r>
    </w:p>
    <w:p w:rsidR="00C46FF6" w:rsidRDefault="003E55E7"/>
    <w:sectPr w:rsidR="00C46FF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E7" w:rsidRDefault="003E55E7" w:rsidP="00344521">
      <w:pPr>
        <w:spacing w:after="0" w:line="240" w:lineRule="auto"/>
      </w:pPr>
      <w:r>
        <w:separator/>
      </w:r>
    </w:p>
  </w:endnote>
  <w:endnote w:type="continuationSeparator" w:id="0">
    <w:p w:rsidR="003E55E7" w:rsidRDefault="003E55E7" w:rsidP="0034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8"/>
      <w:gridCol w:w="4618"/>
    </w:tblGrid>
    <w:tr w:rsidR="00C70252">
      <w:trPr>
        <w:trHeight w:hRule="exact" w:val="115"/>
        <w:jc w:val="center"/>
      </w:trPr>
      <w:tc>
        <w:tcPr>
          <w:tcW w:w="4686" w:type="dxa"/>
          <w:shd w:val="clear" w:color="auto" w:fill="5B9BD5" w:themeFill="accent1"/>
          <w:tcMar>
            <w:top w:w="0" w:type="dxa"/>
            <w:bottom w:w="0" w:type="dxa"/>
          </w:tcMar>
        </w:tcPr>
        <w:p w:rsidR="00C70252" w:rsidRDefault="00C70252">
          <w:pPr>
            <w:pStyle w:val="Header"/>
            <w:rPr>
              <w:caps/>
              <w:sz w:val="18"/>
            </w:rPr>
          </w:pPr>
        </w:p>
      </w:tc>
      <w:tc>
        <w:tcPr>
          <w:tcW w:w="4674" w:type="dxa"/>
          <w:shd w:val="clear" w:color="auto" w:fill="5B9BD5" w:themeFill="accent1"/>
          <w:tcMar>
            <w:top w:w="0" w:type="dxa"/>
            <w:bottom w:w="0" w:type="dxa"/>
          </w:tcMar>
        </w:tcPr>
        <w:p w:rsidR="00C70252" w:rsidRDefault="00C70252">
          <w:pPr>
            <w:pStyle w:val="Header"/>
            <w:jc w:val="right"/>
            <w:rPr>
              <w:caps/>
              <w:sz w:val="18"/>
            </w:rPr>
          </w:pPr>
        </w:p>
      </w:tc>
    </w:tr>
    <w:tr w:rsidR="00C70252">
      <w:trPr>
        <w:jc w:val="center"/>
      </w:trPr>
      <w:sdt>
        <w:sdtPr>
          <w:rPr>
            <w:caps/>
            <w:color w:val="808080" w:themeColor="background1" w:themeShade="80"/>
            <w:sz w:val="18"/>
            <w:szCs w:val="18"/>
          </w:rPr>
          <w:alias w:val="Author"/>
          <w:tag w:val=""/>
          <w:id w:val="1534151868"/>
          <w:placeholder>
            <w:docPart w:val="0973655D478E4364B078B5C4C9731FE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70252" w:rsidRDefault="00C70252">
              <w:pPr>
                <w:pStyle w:val="Footer"/>
                <w:rPr>
                  <w:caps/>
                  <w:color w:val="808080" w:themeColor="background1" w:themeShade="80"/>
                  <w:sz w:val="18"/>
                  <w:szCs w:val="18"/>
                </w:rPr>
              </w:pPr>
              <w:r>
                <w:rPr>
                  <w:caps/>
                  <w:color w:val="808080" w:themeColor="background1" w:themeShade="80"/>
                  <w:sz w:val="18"/>
                  <w:szCs w:val="18"/>
                </w:rPr>
                <w:t>Updated July 2015</w:t>
              </w:r>
            </w:p>
          </w:tc>
        </w:sdtContent>
      </w:sdt>
      <w:tc>
        <w:tcPr>
          <w:tcW w:w="4674" w:type="dxa"/>
          <w:shd w:val="clear" w:color="auto" w:fill="auto"/>
          <w:vAlign w:val="center"/>
        </w:tcPr>
        <w:p w:rsidR="00C70252" w:rsidRDefault="00C70252">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67840">
            <w:rPr>
              <w:caps/>
              <w:noProof/>
              <w:color w:val="808080" w:themeColor="background1" w:themeShade="80"/>
              <w:sz w:val="18"/>
              <w:szCs w:val="18"/>
            </w:rPr>
            <w:t>1</w:t>
          </w:r>
          <w:r>
            <w:rPr>
              <w:caps/>
              <w:noProof/>
              <w:color w:val="808080" w:themeColor="background1" w:themeShade="80"/>
              <w:sz w:val="18"/>
              <w:szCs w:val="18"/>
            </w:rPr>
            <w:fldChar w:fldCharType="end"/>
          </w:r>
        </w:p>
      </w:tc>
    </w:tr>
  </w:tbl>
  <w:p w:rsidR="00C70252" w:rsidRDefault="00C7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E7" w:rsidRDefault="003E55E7" w:rsidP="00344521">
      <w:pPr>
        <w:spacing w:after="0" w:line="240" w:lineRule="auto"/>
      </w:pPr>
      <w:r>
        <w:separator/>
      </w:r>
    </w:p>
  </w:footnote>
  <w:footnote w:type="continuationSeparator" w:id="0">
    <w:p w:rsidR="003E55E7" w:rsidRDefault="003E55E7" w:rsidP="00344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6C1"/>
    <w:multiLevelType w:val="hybridMultilevel"/>
    <w:tmpl w:val="BAF6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F204F"/>
    <w:multiLevelType w:val="hybridMultilevel"/>
    <w:tmpl w:val="91841FA6"/>
    <w:lvl w:ilvl="0" w:tplc="C1AA1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350D8"/>
    <w:multiLevelType w:val="hybridMultilevel"/>
    <w:tmpl w:val="5EF2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8143E"/>
    <w:multiLevelType w:val="hybridMultilevel"/>
    <w:tmpl w:val="F0546F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792C5C"/>
    <w:multiLevelType w:val="hybridMultilevel"/>
    <w:tmpl w:val="FC20189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F46000"/>
    <w:multiLevelType w:val="hybridMultilevel"/>
    <w:tmpl w:val="513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9716DA"/>
    <w:multiLevelType w:val="hybridMultilevel"/>
    <w:tmpl w:val="BFC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0B256B"/>
    <w:multiLevelType w:val="hybridMultilevel"/>
    <w:tmpl w:val="68EA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4E75DB"/>
    <w:multiLevelType w:val="multilevel"/>
    <w:tmpl w:val="69AA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21457"/>
    <w:multiLevelType w:val="hybridMultilevel"/>
    <w:tmpl w:val="E8D83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450" w:hanging="360"/>
      </w:pPr>
      <w:rPr>
        <w:rFonts w:ascii="Courier New" w:hAnsi="Courier New" w:cs="Courier New" w:hint="default"/>
      </w:rPr>
    </w:lvl>
    <w:lvl w:ilvl="2" w:tplc="08090005" w:tentative="1">
      <w:start w:val="1"/>
      <w:numFmt w:val="bullet"/>
      <w:lvlText w:val=""/>
      <w:lvlJc w:val="left"/>
      <w:pPr>
        <w:ind w:left="3170" w:hanging="360"/>
      </w:pPr>
      <w:rPr>
        <w:rFonts w:ascii="Wingdings" w:hAnsi="Wingdings" w:hint="default"/>
      </w:rPr>
    </w:lvl>
    <w:lvl w:ilvl="3" w:tplc="08090001" w:tentative="1">
      <w:start w:val="1"/>
      <w:numFmt w:val="bullet"/>
      <w:lvlText w:val=""/>
      <w:lvlJc w:val="left"/>
      <w:pPr>
        <w:ind w:left="3890" w:hanging="360"/>
      </w:pPr>
      <w:rPr>
        <w:rFonts w:ascii="Symbol" w:hAnsi="Symbol" w:hint="default"/>
      </w:rPr>
    </w:lvl>
    <w:lvl w:ilvl="4" w:tplc="08090003" w:tentative="1">
      <w:start w:val="1"/>
      <w:numFmt w:val="bullet"/>
      <w:lvlText w:val="o"/>
      <w:lvlJc w:val="left"/>
      <w:pPr>
        <w:ind w:left="4610" w:hanging="360"/>
      </w:pPr>
      <w:rPr>
        <w:rFonts w:ascii="Courier New" w:hAnsi="Courier New" w:cs="Courier New" w:hint="default"/>
      </w:rPr>
    </w:lvl>
    <w:lvl w:ilvl="5" w:tplc="08090005" w:tentative="1">
      <w:start w:val="1"/>
      <w:numFmt w:val="bullet"/>
      <w:lvlText w:val=""/>
      <w:lvlJc w:val="left"/>
      <w:pPr>
        <w:ind w:left="5330" w:hanging="360"/>
      </w:pPr>
      <w:rPr>
        <w:rFonts w:ascii="Wingdings" w:hAnsi="Wingdings" w:hint="default"/>
      </w:rPr>
    </w:lvl>
    <w:lvl w:ilvl="6" w:tplc="08090001" w:tentative="1">
      <w:start w:val="1"/>
      <w:numFmt w:val="bullet"/>
      <w:lvlText w:val=""/>
      <w:lvlJc w:val="left"/>
      <w:pPr>
        <w:ind w:left="6050" w:hanging="360"/>
      </w:pPr>
      <w:rPr>
        <w:rFonts w:ascii="Symbol" w:hAnsi="Symbol" w:hint="default"/>
      </w:rPr>
    </w:lvl>
    <w:lvl w:ilvl="7" w:tplc="08090003" w:tentative="1">
      <w:start w:val="1"/>
      <w:numFmt w:val="bullet"/>
      <w:lvlText w:val="o"/>
      <w:lvlJc w:val="left"/>
      <w:pPr>
        <w:ind w:left="6770" w:hanging="360"/>
      </w:pPr>
      <w:rPr>
        <w:rFonts w:ascii="Courier New" w:hAnsi="Courier New" w:cs="Courier New" w:hint="default"/>
      </w:rPr>
    </w:lvl>
    <w:lvl w:ilvl="8" w:tplc="08090005" w:tentative="1">
      <w:start w:val="1"/>
      <w:numFmt w:val="bullet"/>
      <w:lvlText w:val=""/>
      <w:lvlJc w:val="left"/>
      <w:pPr>
        <w:ind w:left="7490" w:hanging="360"/>
      </w:pPr>
      <w:rPr>
        <w:rFonts w:ascii="Wingdings" w:hAnsi="Wingdings" w:hint="default"/>
      </w:rPr>
    </w:lvl>
  </w:abstractNum>
  <w:abstractNum w:abstractNumId="10">
    <w:nsid w:val="789B2725"/>
    <w:multiLevelType w:val="hybridMultilevel"/>
    <w:tmpl w:val="06E2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118A2"/>
    <w:multiLevelType w:val="hybridMultilevel"/>
    <w:tmpl w:val="53FA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6"/>
  </w:num>
  <w:num w:numId="5">
    <w:abstractNumId w:val="7"/>
  </w:num>
  <w:num w:numId="6">
    <w:abstractNumId w:val="5"/>
  </w:num>
  <w:num w:numId="7">
    <w:abstractNumId w:val="4"/>
  </w:num>
  <w:num w:numId="8">
    <w:abstractNumId w:val="3"/>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21"/>
    <w:rsid w:val="000070DF"/>
    <w:rsid w:val="000C27DE"/>
    <w:rsid w:val="00104B0B"/>
    <w:rsid w:val="00195152"/>
    <w:rsid w:val="00201B76"/>
    <w:rsid w:val="00256ACC"/>
    <w:rsid w:val="002B1414"/>
    <w:rsid w:val="00310693"/>
    <w:rsid w:val="00344521"/>
    <w:rsid w:val="00374114"/>
    <w:rsid w:val="003C31D8"/>
    <w:rsid w:val="003D436F"/>
    <w:rsid w:val="003E55E7"/>
    <w:rsid w:val="004B3F83"/>
    <w:rsid w:val="00537F0A"/>
    <w:rsid w:val="005525D8"/>
    <w:rsid w:val="005648AF"/>
    <w:rsid w:val="00567840"/>
    <w:rsid w:val="00614AEB"/>
    <w:rsid w:val="006C4F66"/>
    <w:rsid w:val="007023D1"/>
    <w:rsid w:val="00731AAC"/>
    <w:rsid w:val="007532E5"/>
    <w:rsid w:val="008763CE"/>
    <w:rsid w:val="00AB1C21"/>
    <w:rsid w:val="00B744B5"/>
    <w:rsid w:val="00B82FE7"/>
    <w:rsid w:val="00BA4045"/>
    <w:rsid w:val="00BC5EB6"/>
    <w:rsid w:val="00C36AC4"/>
    <w:rsid w:val="00C70252"/>
    <w:rsid w:val="00D84437"/>
    <w:rsid w:val="00DC0834"/>
    <w:rsid w:val="00DE6841"/>
    <w:rsid w:val="00DF195D"/>
    <w:rsid w:val="00E212E1"/>
    <w:rsid w:val="00E7616F"/>
    <w:rsid w:val="00EC5456"/>
    <w:rsid w:val="00F5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21"/>
    <w:pPr>
      <w:spacing w:after="200" w:line="276" w:lineRule="auto"/>
    </w:pPr>
  </w:style>
  <w:style w:type="paragraph" w:styleId="Heading2">
    <w:name w:val="heading 2"/>
    <w:basedOn w:val="Normal"/>
    <w:next w:val="Normal"/>
    <w:link w:val="Heading2Char"/>
    <w:uiPriority w:val="9"/>
    <w:unhideWhenUsed/>
    <w:qFormat/>
    <w:rsid w:val="003445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445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52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44521"/>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344521"/>
    <w:rPr>
      <w:color w:val="0563C1" w:themeColor="hyperlink"/>
      <w:u w:val="single"/>
    </w:rPr>
  </w:style>
  <w:style w:type="paragraph" w:styleId="ListParagraph">
    <w:name w:val="List Paragraph"/>
    <w:basedOn w:val="Normal"/>
    <w:uiPriority w:val="34"/>
    <w:qFormat/>
    <w:rsid w:val="00344521"/>
    <w:pPr>
      <w:ind w:left="720"/>
      <w:contextualSpacing/>
    </w:pPr>
  </w:style>
  <w:style w:type="table" w:styleId="TableGrid">
    <w:name w:val="Table Grid"/>
    <w:basedOn w:val="TableNormal"/>
    <w:uiPriority w:val="39"/>
    <w:rsid w:val="0034452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45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4521"/>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344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21"/>
    <w:rPr>
      <w:sz w:val="20"/>
      <w:szCs w:val="20"/>
    </w:rPr>
  </w:style>
  <w:style w:type="character" w:styleId="FootnoteReference">
    <w:name w:val="footnote reference"/>
    <w:basedOn w:val="DefaultParagraphFont"/>
    <w:uiPriority w:val="99"/>
    <w:semiHidden/>
    <w:unhideWhenUsed/>
    <w:rsid w:val="00344521"/>
    <w:rPr>
      <w:vertAlign w:val="superscript"/>
    </w:rPr>
  </w:style>
  <w:style w:type="character" w:styleId="FollowedHyperlink">
    <w:name w:val="FollowedHyperlink"/>
    <w:basedOn w:val="DefaultParagraphFont"/>
    <w:uiPriority w:val="99"/>
    <w:semiHidden/>
    <w:unhideWhenUsed/>
    <w:rsid w:val="007023D1"/>
    <w:rPr>
      <w:color w:val="954F72" w:themeColor="followedHyperlink"/>
      <w:u w:val="single"/>
    </w:rPr>
  </w:style>
  <w:style w:type="character" w:styleId="CommentReference">
    <w:name w:val="annotation reference"/>
    <w:basedOn w:val="DefaultParagraphFont"/>
    <w:uiPriority w:val="99"/>
    <w:semiHidden/>
    <w:unhideWhenUsed/>
    <w:rsid w:val="00C36AC4"/>
    <w:rPr>
      <w:sz w:val="16"/>
      <w:szCs w:val="16"/>
    </w:rPr>
  </w:style>
  <w:style w:type="paragraph" w:styleId="CommentText">
    <w:name w:val="annotation text"/>
    <w:basedOn w:val="Normal"/>
    <w:link w:val="CommentTextChar"/>
    <w:uiPriority w:val="99"/>
    <w:semiHidden/>
    <w:unhideWhenUsed/>
    <w:rsid w:val="00C36AC4"/>
    <w:pPr>
      <w:spacing w:line="240" w:lineRule="auto"/>
    </w:pPr>
    <w:rPr>
      <w:sz w:val="20"/>
      <w:szCs w:val="20"/>
    </w:rPr>
  </w:style>
  <w:style w:type="character" w:customStyle="1" w:styleId="CommentTextChar">
    <w:name w:val="Comment Text Char"/>
    <w:basedOn w:val="DefaultParagraphFont"/>
    <w:link w:val="CommentText"/>
    <w:uiPriority w:val="99"/>
    <w:semiHidden/>
    <w:rsid w:val="00C36AC4"/>
    <w:rPr>
      <w:sz w:val="20"/>
      <w:szCs w:val="20"/>
    </w:rPr>
  </w:style>
  <w:style w:type="paragraph" w:styleId="CommentSubject">
    <w:name w:val="annotation subject"/>
    <w:basedOn w:val="CommentText"/>
    <w:next w:val="CommentText"/>
    <w:link w:val="CommentSubjectChar"/>
    <w:uiPriority w:val="99"/>
    <w:semiHidden/>
    <w:unhideWhenUsed/>
    <w:rsid w:val="00C36AC4"/>
    <w:rPr>
      <w:b/>
      <w:bCs/>
    </w:rPr>
  </w:style>
  <w:style w:type="character" w:customStyle="1" w:styleId="CommentSubjectChar">
    <w:name w:val="Comment Subject Char"/>
    <w:basedOn w:val="CommentTextChar"/>
    <w:link w:val="CommentSubject"/>
    <w:uiPriority w:val="99"/>
    <w:semiHidden/>
    <w:rsid w:val="00C36AC4"/>
    <w:rPr>
      <w:b/>
      <w:bCs/>
      <w:sz w:val="20"/>
      <w:szCs w:val="20"/>
    </w:rPr>
  </w:style>
  <w:style w:type="paragraph" w:styleId="BalloonText">
    <w:name w:val="Balloon Text"/>
    <w:basedOn w:val="Normal"/>
    <w:link w:val="BalloonTextChar"/>
    <w:uiPriority w:val="99"/>
    <w:semiHidden/>
    <w:unhideWhenUsed/>
    <w:rsid w:val="00C3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C4"/>
    <w:rPr>
      <w:rFonts w:ascii="Tahoma" w:hAnsi="Tahoma" w:cs="Tahoma"/>
      <w:sz w:val="16"/>
      <w:szCs w:val="16"/>
    </w:rPr>
  </w:style>
  <w:style w:type="paragraph" w:styleId="Header">
    <w:name w:val="header"/>
    <w:basedOn w:val="Normal"/>
    <w:link w:val="HeaderChar"/>
    <w:uiPriority w:val="99"/>
    <w:unhideWhenUsed/>
    <w:rsid w:val="00C7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52"/>
  </w:style>
  <w:style w:type="paragraph" w:styleId="Footer">
    <w:name w:val="footer"/>
    <w:basedOn w:val="Normal"/>
    <w:link w:val="FooterChar"/>
    <w:uiPriority w:val="99"/>
    <w:unhideWhenUsed/>
    <w:rsid w:val="00C7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21"/>
    <w:pPr>
      <w:spacing w:after="200" w:line="276" w:lineRule="auto"/>
    </w:pPr>
  </w:style>
  <w:style w:type="paragraph" w:styleId="Heading2">
    <w:name w:val="heading 2"/>
    <w:basedOn w:val="Normal"/>
    <w:next w:val="Normal"/>
    <w:link w:val="Heading2Char"/>
    <w:uiPriority w:val="9"/>
    <w:unhideWhenUsed/>
    <w:qFormat/>
    <w:rsid w:val="003445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445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52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44521"/>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344521"/>
    <w:rPr>
      <w:color w:val="0563C1" w:themeColor="hyperlink"/>
      <w:u w:val="single"/>
    </w:rPr>
  </w:style>
  <w:style w:type="paragraph" w:styleId="ListParagraph">
    <w:name w:val="List Paragraph"/>
    <w:basedOn w:val="Normal"/>
    <w:uiPriority w:val="34"/>
    <w:qFormat/>
    <w:rsid w:val="00344521"/>
    <w:pPr>
      <w:ind w:left="720"/>
      <w:contextualSpacing/>
    </w:pPr>
  </w:style>
  <w:style w:type="table" w:styleId="TableGrid">
    <w:name w:val="Table Grid"/>
    <w:basedOn w:val="TableNormal"/>
    <w:uiPriority w:val="39"/>
    <w:rsid w:val="0034452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45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44521"/>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344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21"/>
    <w:rPr>
      <w:sz w:val="20"/>
      <w:szCs w:val="20"/>
    </w:rPr>
  </w:style>
  <w:style w:type="character" w:styleId="FootnoteReference">
    <w:name w:val="footnote reference"/>
    <w:basedOn w:val="DefaultParagraphFont"/>
    <w:uiPriority w:val="99"/>
    <w:semiHidden/>
    <w:unhideWhenUsed/>
    <w:rsid w:val="00344521"/>
    <w:rPr>
      <w:vertAlign w:val="superscript"/>
    </w:rPr>
  </w:style>
  <w:style w:type="character" w:styleId="FollowedHyperlink">
    <w:name w:val="FollowedHyperlink"/>
    <w:basedOn w:val="DefaultParagraphFont"/>
    <w:uiPriority w:val="99"/>
    <w:semiHidden/>
    <w:unhideWhenUsed/>
    <w:rsid w:val="007023D1"/>
    <w:rPr>
      <w:color w:val="954F72" w:themeColor="followedHyperlink"/>
      <w:u w:val="single"/>
    </w:rPr>
  </w:style>
  <w:style w:type="character" w:styleId="CommentReference">
    <w:name w:val="annotation reference"/>
    <w:basedOn w:val="DefaultParagraphFont"/>
    <w:uiPriority w:val="99"/>
    <w:semiHidden/>
    <w:unhideWhenUsed/>
    <w:rsid w:val="00C36AC4"/>
    <w:rPr>
      <w:sz w:val="16"/>
      <w:szCs w:val="16"/>
    </w:rPr>
  </w:style>
  <w:style w:type="paragraph" w:styleId="CommentText">
    <w:name w:val="annotation text"/>
    <w:basedOn w:val="Normal"/>
    <w:link w:val="CommentTextChar"/>
    <w:uiPriority w:val="99"/>
    <w:semiHidden/>
    <w:unhideWhenUsed/>
    <w:rsid w:val="00C36AC4"/>
    <w:pPr>
      <w:spacing w:line="240" w:lineRule="auto"/>
    </w:pPr>
    <w:rPr>
      <w:sz w:val="20"/>
      <w:szCs w:val="20"/>
    </w:rPr>
  </w:style>
  <w:style w:type="character" w:customStyle="1" w:styleId="CommentTextChar">
    <w:name w:val="Comment Text Char"/>
    <w:basedOn w:val="DefaultParagraphFont"/>
    <w:link w:val="CommentText"/>
    <w:uiPriority w:val="99"/>
    <w:semiHidden/>
    <w:rsid w:val="00C36AC4"/>
    <w:rPr>
      <w:sz w:val="20"/>
      <w:szCs w:val="20"/>
    </w:rPr>
  </w:style>
  <w:style w:type="paragraph" w:styleId="CommentSubject">
    <w:name w:val="annotation subject"/>
    <w:basedOn w:val="CommentText"/>
    <w:next w:val="CommentText"/>
    <w:link w:val="CommentSubjectChar"/>
    <w:uiPriority w:val="99"/>
    <w:semiHidden/>
    <w:unhideWhenUsed/>
    <w:rsid w:val="00C36AC4"/>
    <w:rPr>
      <w:b/>
      <w:bCs/>
    </w:rPr>
  </w:style>
  <w:style w:type="character" w:customStyle="1" w:styleId="CommentSubjectChar">
    <w:name w:val="Comment Subject Char"/>
    <w:basedOn w:val="CommentTextChar"/>
    <w:link w:val="CommentSubject"/>
    <w:uiPriority w:val="99"/>
    <w:semiHidden/>
    <w:rsid w:val="00C36AC4"/>
    <w:rPr>
      <w:b/>
      <w:bCs/>
      <w:sz w:val="20"/>
      <w:szCs w:val="20"/>
    </w:rPr>
  </w:style>
  <w:style w:type="paragraph" w:styleId="BalloonText">
    <w:name w:val="Balloon Text"/>
    <w:basedOn w:val="Normal"/>
    <w:link w:val="BalloonTextChar"/>
    <w:uiPriority w:val="99"/>
    <w:semiHidden/>
    <w:unhideWhenUsed/>
    <w:rsid w:val="00C3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AC4"/>
    <w:rPr>
      <w:rFonts w:ascii="Tahoma" w:hAnsi="Tahoma" w:cs="Tahoma"/>
      <w:sz w:val="16"/>
      <w:szCs w:val="16"/>
    </w:rPr>
  </w:style>
  <w:style w:type="paragraph" w:styleId="Header">
    <w:name w:val="header"/>
    <w:basedOn w:val="Normal"/>
    <w:link w:val="HeaderChar"/>
    <w:uiPriority w:val="99"/>
    <w:unhideWhenUsed/>
    <w:rsid w:val="00C7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52"/>
  </w:style>
  <w:style w:type="paragraph" w:styleId="Footer">
    <w:name w:val="footer"/>
    <w:basedOn w:val="Normal"/>
    <w:link w:val="FooterChar"/>
    <w:uiPriority w:val="99"/>
    <w:unhideWhenUsed/>
    <w:rsid w:val="00C7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7757">
      <w:bodyDiv w:val="1"/>
      <w:marLeft w:val="0"/>
      <w:marRight w:val="0"/>
      <w:marTop w:val="0"/>
      <w:marBottom w:val="0"/>
      <w:divBdr>
        <w:top w:val="none" w:sz="0" w:space="0" w:color="auto"/>
        <w:left w:val="none" w:sz="0" w:space="0" w:color="auto"/>
        <w:bottom w:val="none" w:sz="0" w:space="0" w:color="auto"/>
        <w:right w:val="none" w:sz="0" w:space="0" w:color="auto"/>
      </w:divBdr>
    </w:div>
    <w:div w:id="14678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hcr.org/4e26c9c69.html" TargetMode="External"/><Relationship Id="rId18"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twine.unhcr.org/app/"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apps.who.int/iris/bitstream/10665/162960/1/9789241548922_eng.pdf?ua=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ergency.unhcr.org" TargetMode="External"/><Relationship Id="rId5" Type="http://schemas.openxmlformats.org/officeDocument/2006/relationships/settings" Target="settings.xml"/><Relationship Id="rId15" Type="http://schemas.openxmlformats.org/officeDocument/2006/relationships/hyperlink" Target="http://www.unhcr.org/pages/49c3646cdd.html" TargetMode="External"/><Relationship Id="rId10" Type="http://schemas.openxmlformats.org/officeDocument/2006/relationships/hyperlink" Target="http://www.unhcr.org/530f12d26.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hcr.org/4a3374408.html" TargetMode="External"/><Relationship Id="rId14" Type="http://schemas.openxmlformats.org/officeDocument/2006/relationships/hyperlink" Target="http://www.unhcr.org/527baab09.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73655D478E4364B078B5C4C9731FE9"/>
        <w:category>
          <w:name w:val="General"/>
          <w:gallery w:val="placeholder"/>
        </w:category>
        <w:types>
          <w:type w:val="bbPlcHdr"/>
        </w:types>
        <w:behaviors>
          <w:behavior w:val="content"/>
        </w:behaviors>
        <w:guid w:val="{6168E146-64CD-4918-BF2D-D12672CF9029}"/>
      </w:docPartPr>
      <w:docPartBody>
        <w:p w:rsidR="00B77DB0" w:rsidRDefault="00C435DD" w:rsidP="00C435DD">
          <w:pPr>
            <w:pStyle w:val="0973655D478E4364B078B5C4C9731FE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DD"/>
    <w:rsid w:val="00122B17"/>
    <w:rsid w:val="00527F62"/>
    <w:rsid w:val="00601B6E"/>
    <w:rsid w:val="00B77DB0"/>
    <w:rsid w:val="00C435DD"/>
    <w:rsid w:val="00DC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5DD"/>
    <w:rPr>
      <w:color w:val="808080"/>
    </w:rPr>
  </w:style>
  <w:style w:type="paragraph" w:customStyle="1" w:styleId="0973655D478E4364B078B5C4C9731FE9">
    <w:name w:val="0973655D478E4364B078B5C4C9731FE9"/>
    <w:rsid w:val="00C435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5DD"/>
    <w:rPr>
      <w:color w:val="808080"/>
    </w:rPr>
  </w:style>
  <w:style w:type="paragraph" w:customStyle="1" w:styleId="0973655D478E4364B078B5C4C9731FE9">
    <w:name w:val="0973655D478E4364B078B5C4C9731FE9"/>
    <w:rsid w:val="00C43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CD58-37F6-458D-8941-99C5A795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 July 2015</dc:creator>
  <cp:lastModifiedBy>Ibrahim A Ahmed</cp:lastModifiedBy>
  <cp:revision>2</cp:revision>
  <dcterms:created xsi:type="dcterms:W3CDTF">2015-08-30T10:42:00Z</dcterms:created>
  <dcterms:modified xsi:type="dcterms:W3CDTF">2015-08-30T10:42:00Z</dcterms:modified>
</cp:coreProperties>
</file>