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theme/themeOverride1.xml" ContentType="application/vnd.openxmlformats-officedocument.themeOverride+xml"/>
  <Override PartName="/word/charts/chart25.xml" ContentType="application/vnd.openxmlformats-officedocument.drawingml.chart+xml"/>
  <Override PartName="/word/theme/themeOverride2.xml" ContentType="application/vnd.openxmlformats-officedocument.themeOverride+xml"/>
  <Override PartName="/word/charts/chart26.xml" ContentType="application/vnd.openxmlformats-officedocument.drawingml.chart+xml"/>
  <Override PartName="/word/theme/themeOverride3.xml" ContentType="application/vnd.openxmlformats-officedocument.themeOverride+xml"/>
  <Override PartName="/word/charts/chart27.xml" ContentType="application/vnd.openxmlformats-officedocument.drawingml.chart+xml"/>
  <Override PartName="/word/theme/themeOverride4.xml" ContentType="application/vnd.openxmlformats-officedocument.themeOverride+xml"/>
  <Override PartName="/word/charts/chart28.xml" ContentType="application/vnd.openxmlformats-officedocument.drawingml.chart+xml"/>
  <Override PartName="/word/theme/themeOverride5.xml" ContentType="application/vnd.openxmlformats-officedocument.themeOverride+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702102" w14:textId="77777777" w:rsidR="00F631F0" w:rsidRPr="00162A1D" w:rsidRDefault="00F631F0" w:rsidP="000C05CF">
      <w:pPr>
        <w:pStyle w:val="NoSpacing"/>
        <w:jc w:val="center"/>
        <w:rPr>
          <w:rFonts w:ascii="Arial" w:hAnsi="Arial" w:cs="Arial"/>
          <w:b/>
          <w:bCs/>
          <w:sz w:val="20"/>
          <w:szCs w:val="20"/>
          <w:shd w:val="clear" w:color="auto" w:fill="FFFFFF"/>
          <w:lang w:val="en-GB"/>
        </w:rPr>
      </w:pPr>
      <w:r w:rsidRPr="00162A1D">
        <w:rPr>
          <w:rFonts w:ascii="Arial" w:hAnsi="Arial" w:cs="Arial"/>
          <w:b/>
          <w:bCs/>
          <w:sz w:val="20"/>
          <w:szCs w:val="20"/>
          <w:shd w:val="clear" w:color="auto" w:fill="FFFFFF"/>
          <w:lang w:val="en-GB"/>
        </w:rPr>
        <w:t>Social Stability mainstreaming</w:t>
      </w:r>
      <w:r w:rsidR="000C05CF" w:rsidRPr="00162A1D">
        <w:rPr>
          <w:rFonts w:ascii="Arial" w:hAnsi="Arial" w:cs="Arial"/>
          <w:b/>
          <w:bCs/>
          <w:sz w:val="20"/>
          <w:szCs w:val="20"/>
          <w:shd w:val="clear" w:color="auto" w:fill="FFFFFF"/>
          <w:lang w:val="en-GB"/>
        </w:rPr>
        <w:t xml:space="preserve"> survey</w:t>
      </w:r>
    </w:p>
    <w:p w14:paraId="0CAF4CC8" w14:textId="77777777" w:rsidR="005673A0" w:rsidRPr="00162A1D" w:rsidRDefault="005673A0" w:rsidP="005673A0">
      <w:pPr>
        <w:pStyle w:val="NoSpacing"/>
        <w:rPr>
          <w:rFonts w:ascii="Arial" w:hAnsi="Arial" w:cs="Arial"/>
          <w:b/>
          <w:bCs/>
          <w:sz w:val="20"/>
          <w:szCs w:val="20"/>
          <w:shd w:val="clear" w:color="auto" w:fill="FFFFFF"/>
          <w:lang w:val="en-GB"/>
        </w:rPr>
      </w:pPr>
    </w:p>
    <w:p w14:paraId="3C213C4B" w14:textId="77777777" w:rsidR="000C05CF" w:rsidRPr="00162A1D" w:rsidRDefault="000C05CF" w:rsidP="005673A0">
      <w:pPr>
        <w:pStyle w:val="NoSpacing"/>
        <w:rPr>
          <w:rFonts w:ascii="Arial" w:hAnsi="Arial" w:cs="Arial"/>
          <w:b/>
          <w:bCs/>
          <w:sz w:val="20"/>
          <w:szCs w:val="20"/>
          <w:shd w:val="clear" w:color="auto" w:fill="FFFFFF"/>
          <w:lang w:val="en-GB"/>
        </w:rPr>
      </w:pPr>
    </w:p>
    <w:p w14:paraId="6212E675" w14:textId="66948987" w:rsidR="000C05CF" w:rsidRPr="00162A1D" w:rsidRDefault="000C05CF" w:rsidP="000C05CF">
      <w:pPr>
        <w:jc w:val="both"/>
        <w:rPr>
          <w:rFonts w:ascii="Arial" w:hAnsi="Arial" w:cs="Arial"/>
          <w:sz w:val="20"/>
          <w:szCs w:val="20"/>
        </w:rPr>
      </w:pPr>
      <w:r w:rsidRPr="00162A1D">
        <w:rPr>
          <w:rFonts w:ascii="Arial" w:hAnsi="Arial" w:cs="Arial"/>
          <w:sz w:val="20"/>
          <w:szCs w:val="20"/>
        </w:rPr>
        <w:t xml:space="preserve">Reinforcing social stability is one of the three key objectives of the LCRP, to which the entire response should contribute. The social stability sector directly contributes to this by creating spaces for inter-community dialogues, and supporting local and national institutions in building social stability </w:t>
      </w:r>
      <w:r w:rsidR="00113FB5">
        <w:rPr>
          <w:rFonts w:ascii="Arial" w:hAnsi="Arial" w:cs="Arial"/>
          <w:sz w:val="20"/>
          <w:szCs w:val="20"/>
        </w:rPr>
        <w:t xml:space="preserve">and </w:t>
      </w:r>
      <w:r w:rsidRPr="00162A1D">
        <w:rPr>
          <w:rFonts w:ascii="Arial" w:hAnsi="Arial" w:cs="Arial"/>
          <w:sz w:val="20"/>
          <w:szCs w:val="20"/>
        </w:rPr>
        <w:t xml:space="preserve">responding to tensions. In addition, the sector aims at supporting the overall response in building social stability by providing capacity building and information to partners across the response. In order to assess what partners are already doing in terms of social stability mainstreaming, how the available tools and information are being used, and what their needs are, the social stability core group conducted an inter-agency survey early May 2015. </w:t>
      </w:r>
    </w:p>
    <w:p w14:paraId="0A1FEED9" w14:textId="77777777" w:rsidR="000C05CF" w:rsidRPr="00162A1D" w:rsidRDefault="000C05CF" w:rsidP="000C05CF">
      <w:pPr>
        <w:jc w:val="both"/>
        <w:rPr>
          <w:rFonts w:ascii="Arial" w:hAnsi="Arial" w:cs="Arial"/>
          <w:sz w:val="20"/>
          <w:szCs w:val="20"/>
        </w:rPr>
      </w:pPr>
      <w:r w:rsidRPr="00162A1D">
        <w:rPr>
          <w:rFonts w:ascii="Arial" w:hAnsi="Arial" w:cs="Arial"/>
          <w:sz w:val="20"/>
          <w:szCs w:val="20"/>
        </w:rPr>
        <w:t xml:space="preserve">The results of the survey are available here: </w:t>
      </w:r>
      <w:hyperlink r:id="rId7" w:history="1">
        <w:r w:rsidRPr="00162A1D">
          <w:rPr>
            <w:rStyle w:val="Hyperlink"/>
            <w:rFonts w:ascii="Arial" w:hAnsi="Arial" w:cs="Arial"/>
            <w:color w:val="auto"/>
            <w:sz w:val="20"/>
            <w:szCs w:val="20"/>
          </w:rPr>
          <w:t>https://www.surveymonkey.net/results/SM-K5NGBRS9/</w:t>
        </w:r>
      </w:hyperlink>
      <w:r w:rsidRPr="00162A1D">
        <w:rPr>
          <w:rFonts w:ascii="Arial" w:hAnsi="Arial" w:cs="Arial"/>
          <w:sz w:val="20"/>
          <w:szCs w:val="20"/>
        </w:rPr>
        <w:t xml:space="preserve"> 91 persons responded to the survey, which is satisfactory also lower t</w:t>
      </w:r>
      <w:r w:rsidR="007F5C55" w:rsidRPr="00162A1D">
        <w:rPr>
          <w:rFonts w:ascii="Arial" w:hAnsi="Arial" w:cs="Arial"/>
          <w:sz w:val="20"/>
          <w:szCs w:val="20"/>
        </w:rPr>
        <w:t xml:space="preserve">han other inter-agency surveys. </w:t>
      </w:r>
      <w:r w:rsidRPr="00162A1D">
        <w:rPr>
          <w:rFonts w:ascii="Arial" w:hAnsi="Arial" w:cs="Arial"/>
          <w:sz w:val="20"/>
          <w:szCs w:val="20"/>
        </w:rPr>
        <w:t>The respondents present a good balance between type of organizations, sectors, and field/national divide.</w:t>
      </w:r>
    </w:p>
    <w:p w14:paraId="061AB43B" w14:textId="4B6AF3B4" w:rsidR="000C05CF" w:rsidRPr="00162A1D" w:rsidRDefault="00113FB5" w:rsidP="000C05CF">
      <w:pPr>
        <w:jc w:val="both"/>
        <w:rPr>
          <w:rFonts w:ascii="Arial" w:hAnsi="Arial" w:cs="Arial"/>
          <w:sz w:val="20"/>
          <w:szCs w:val="20"/>
        </w:rPr>
      </w:pPr>
      <w:r>
        <w:rPr>
          <w:rFonts w:ascii="Arial" w:hAnsi="Arial" w:cs="Arial"/>
          <w:sz w:val="20"/>
          <w:szCs w:val="20"/>
        </w:rPr>
        <w:t xml:space="preserve">The </w:t>
      </w:r>
      <w:r w:rsidR="000C05CF" w:rsidRPr="00162A1D">
        <w:rPr>
          <w:rFonts w:ascii="Arial" w:hAnsi="Arial" w:cs="Arial"/>
          <w:sz w:val="20"/>
          <w:szCs w:val="20"/>
        </w:rPr>
        <w:t xml:space="preserve">overall highlights of the survey are: </w:t>
      </w:r>
    </w:p>
    <w:p w14:paraId="4980F427" w14:textId="5763BC17" w:rsidR="000C05CF" w:rsidRDefault="00074003" w:rsidP="000C05CF">
      <w:pPr>
        <w:pStyle w:val="ListParagraph"/>
        <w:numPr>
          <w:ilvl w:val="0"/>
          <w:numId w:val="3"/>
        </w:numPr>
        <w:jc w:val="both"/>
        <w:rPr>
          <w:rFonts w:ascii="Arial" w:hAnsi="Arial" w:cs="Arial"/>
          <w:sz w:val="20"/>
          <w:szCs w:val="20"/>
        </w:rPr>
      </w:pPr>
      <w:r>
        <w:rPr>
          <w:rFonts w:ascii="Arial" w:hAnsi="Arial" w:cs="Arial"/>
          <w:sz w:val="20"/>
          <w:szCs w:val="20"/>
        </w:rPr>
        <w:t>R</w:t>
      </w:r>
      <w:r w:rsidR="000C05CF" w:rsidRPr="00162A1D">
        <w:rPr>
          <w:rFonts w:ascii="Arial" w:hAnsi="Arial" w:cs="Arial"/>
          <w:sz w:val="20"/>
          <w:szCs w:val="20"/>
        </w:rPr>
        <w:t>e</w:t>
      </w:r>
      <w:r>
        <w:rPr>
          <w:rFonts w:ascii="Arial" w:hAnsi="Arial" w:cs="Arial"/>
          <w:sz w:val="20"/>
          <w:szCs w:val="20"/>
        </w:rPr>
        <w:t>s</w:t>
      </w:r>
      <w:r w:rsidR="000C05CF" w:rsidRPr="00162A1D">
        <w:rPr>
          <w:rFonts w:ascii="Arial" w:hAnsi="Arial" w:cs="Arial"/>
          <w:sz w:val="20"/>
          <w:szCs w:val="20"/>
        </w:rPr>
        <w:t>ponse members feel well informed on conflict issues, particularly on causes of tensions between refugees and host communities, but less on structural causes of conflict, triggers for violence and general perceptions around international assistance.</w:t>
      </w:r>
      <w:r w:rsidR="00DE2423">
        <w:rPr>
          <w:rFonts w:ascii="Arial" w:hAnsi="Arial" w:cs="Arial"/>
          <w:sz w:val="20"/>
          <w:szCs w:val="20"/>
        </w:rPr>
        <w:t xml:space="preserve"> </w:t>
      </w:r>
    </w:p>
    <w:p w14:paraId="081F221C" w14:textId="5C76E242" w:rsidR="00DE2423" w:rsidRPr="00162A1D" w:rsidRDefault="00DE2423" w:rsidP="000C05CF">
      <w:pPr>
        <w:pStyle w:val="ListParagraph"/>
        <w:numPr>
          <w:ilvl w:val="0"/>
          <w:numId w:val="3"/>
        </w:numPr>
        <w:jc w:val="both"/>
        <w:rPr>
          <w:rFonts w:ascii="Arial" w:hAnsi="Arial" w:cs="Arial"/>
          <w:sz w:val="20"/>
          <w:szCs w:val="20"/>
        </w:rPr>
      </w:pPr>
      <w:r>
        <w:rPr>
          <w:rFonts w:ascii="Arial" w:hAnsi="Arial" w:cs="Arial"/>
          <w:sz w:val="20"/>
          <w:szCs w:val="20"/>
        </w:rPr>
        <w:t xml:space="preserve">Social stability partners and local NGOs report better knowledge of conflict issues than other partners. </w:t>
      </w:r>
    </w:p>
    <w:p w14:paraId="73236943" w14:textId="57D2D558" w:rsidR="000C05CF" w:rsidRPr="00162A1D" w:rsidRDefault="000C05CF" w:rsidP="000C05CF">
      <w:pPr>
        <w:pStyle w:val="ListParagraph"/>
        <w:numPr>
          <w:ilvl w:val="0"/>
          <w:numId w:val="3"/>
        </w:numPr>
        <w:jc w:val="both"/>
        <w:rPr>
          <w:rFonts w:ascii="Arial" w:hAnsi="Arial" w:cs="Arial"/>
          <w:sz w:val="20"/>
          <w:szCs w:val="20"/>
        </w:rPr>
      </w:pPr>
      <w:r w:rsidRPr="00162A1D">
        <w:rPr>
          <w:rFonts w:ascii="Arial" w:hAnsi="Arial" w:cs="Arial"/>
          <w:sz w:val="20"/>
          <w:szCs w:val="20"/>
        </w:rPr>
        <w:t xml:space="preserve">This </w:t>
      </w:r>
      <w:r w:rsidR="00DE2423">
        <w:rPr>
          <w:rFonts w:ascii="Arial" w:hAnsi="Arial" w:cs="Arial"/>
          <w:sz w:val="20"/>
          <w:szCs w:val="20"/>
        </w:rPr>
        <w:t xml:space="preserve">good knowledge on conflict issues in Lebanon </w:t>
      </w:r>
      <w:r w:rsidRPr="00162A1D">
        <w:rPr>
          <w:rFonts w:ascii="Arial" w:hAnsi="Arial" w:cs="Arial"/>
          <w:sz w:val="20"/>
          <w:szCs w:val="20"/>
        </w:rPr>
        <w:t>is confirmed by the fact that most key reports on conflict and social stability issues were read by half of the respondents, who are also aware of the conflict mapping and analysis project of Lebanon Support and UNDP.</w:t>
      </w:r>
    </w:p>
    <w:p w14:paraId="308A1B2A" w14:textId="5690A694" w:rsidR="000C05CF" w:rsidRDefault="007F5C55" w:rsidP="000C05CF">
      <w:pPr>
        <w:pStyle w:val="ListParagraph"/>
        <w:numPr>
          <w:ilvl w:val="0"/>
          <w:numId w:val="3"/>
        </w:numPr>
        <w:jc w:val="both"/>
        <w:rPr>
          <w:rFonts w:ascii="Arial" w:hAnsi="Arial" w:cs="Arial"/>
          <w:sz w:val="20"/>
          <w:szCs w:val="20"/>
        </w:rPr>
      </w:pPr>
      <w:r w:rsidRPr="00162A1D">
        <w:rPr>
          <w:rFonts w:ascii="Arial" w:hAnsi="Arial" w:cs="Arial"/>
          <w:sz w:val="20"/>
          <w:szCs w:val="20"/>
        </w:rPr>
        <w:t>An overwhelming majority of respondents consider that their organizations’ programmes contributes to social stability, mostly by targeting refugee and host communities, strengthening the role of public institutions and bringing members from different communities together.</w:t>
      </w:r>
      <w:r w:rsidR="00DE2423">
        <w:rPr>
          <w:rFonts w:ascii="Arial" w:hAnsi="Arial" w:cs="Arial"/>
          <w:sz w:val="20"/>
          <w:szCs w:val="20"/>
        </w:rPr>
        <w:t xml:space="preserve"> </w:t>
      </w:r>
    </w:p>
    <w:p w14:paraId="4E4F62DD" w14:textId="53501616" w:rsidR="00DE2423" w:rsidRPr="00162A1D" w:rsidRDefault="00DE2423" w:rsidP="000C05CF">
      <w:pPr>
        <w:pStyle w:val="ListParagraph"/>
        <w:numPr>
          <w:ilvl w:val="0"/>
          <w:numId w:val="3"/>
        </w:numPr>
        <w:jc w:val="both"/>
        <w:rPr>
          <w:rFonts w:ascii="Arial" w:hAnsi="Arial" w:cs="Arial"/>
          <w:sz w:val="20"/>
          <w:szCs w:val="20"/>
        </w:rPr>
      </w:pPr>
      <w:r>
        <w:rPr>
          <w:rFonts w:ascii="Arial" w:hAnsi="Arial" w:cs="Arial"/>
          <w:sz w:val="20"/>
          <w:szCs w:val="20"/>
        </w:rPr>
        <w:t>This varies depending on the specificities of each sector’s work but overall partners of the social stability sectors report significant higher contribution to all criteria of contribution to social stability.</w:t>
      </w:r>
    </w:p>
    <w:p w14:paraId="3D40DC6C" w14:textId="4497FEB2" w:rsidR="007F5C55" w:rsidRPr="00162A1D" w:rsidRDefault="007F5C55" w:rsidP="00113FB5">
      <w:pPr>
        <w:pStyle w:val="ListParagraph"/>
        <w:numPr>
          <w:ilvl w:val="0"/>
          <w:numId w:val="3"/>
        </w:numPr>
        <w:jc w:val="both"/>
        <w:rPr>
          <w:rFonts w:ascii="Arial" w:hAnsi="Arial" w:cs="Arial"/>
          <w:sz w:val="20"/>
          <w:szCs w:val="20"/>
        </w:rPr>
      </w:pPr>
      <w:r w:rsidRPr="00162A1D">
        <w:rPr>
          <w:rFonts w:ascii="Arial" w:hAnsi="Arial" w:cs="Arial"/>
          <w:sz w:val="20"/>
          <w:szCs w:val="20"/>
        </w:rPr>
        <w:t>Less than 60% of respondents have an internal mechanism to ensure their programmes are conflict sensitive.</w:t>
      </w:r>
      <w:r w:rsidR="00DE2423">
        <w:rPr>
          <w:rFonts w:ascii="Arial" w:hAnsi="Arial" w:cs="Arial"/>
          <w:sz w:val="20"/>
          <w:szCs w:val="20"/>
        </w:rPr>
        <w:t xml:space="preserve"> Once broken down by sector, that less than a third of respondents </w:t>
      </w:r>
      <w:r w:rsidR="00113FB5">
        <w:rPr>
          <w:rFonts w:ascii="Arial" w:hAnsi="Arial" w:cs="Arial"/>
          <w:sz w:val="20"/>
          <w:szCs w:val="20"/>
        </w:rPr>
        <w:t xml:space="preserve">outside the social stability sector </w:t>
      </w:r>
      <w:r w:rsidR="00DE2423">
        <w:rPr>
          <w:rFonts w:ascii="Arial" w:hAnsi="Arial" w:cs="Arial"/>
          <w:sz w:val="20"/>
          <w:szCs w:val="20"/>
        </w:rPr>
        <w:t>ensure that their programmes are conflict sensitive.</w:t>
      </w:r>
    </w:p>
    <w:p w14:paraId="7C54DD9E" w14:textId="4C9B720A" w:rsidR="007F5C55" w:rsidRPr="00162A1D" w:rsidRDefault="007F5C55" w:rsidP="000C05CF">
      <w:pPr>
        <w:pStyle w:val="ListParagraph"/>
        <w:numPr>
          <w:ilvl w:val="0"/>
          <w:numId w:val="3"/>
        </w:numPr>
        <w:jc w:val="both"/>
        <w:rPr>
          <w:rFonts w:ascii="Arial" w:hAnsi="Arial" w:cs="Arial"/>
          <w:sz w:val="20"/>
          <w:szCs w:val="20"/>
        </w:rPr>
      </w:pPr>
      <w:r w:rsidRPr="00162A1D">
        <w:rPr>
          <w:rFonts w:ascii="Arial" w:hAnsi="Arial" w:cs="Arial"/>
          <w:sz w:val="20"/>
          <w:szCs w:val="20"/>
        </w:rPr>
        <w:t>Trainings on conflict sensitivity are still very welcome, partic</w:t>
      </w:r>
      <w:r w:rsidR="00DE2423">
        <w:rPr>
          <w:rFonts w:ascii="Arial" w:hAnsi="Arial" w:cs="Arial"/>
          <w:sz w:val="20"/>
          <w:szCs w:val="20"/>
        </w:rPr>
        <w:t>ularly around conflict sensitivit</w:t>
      </w:r>
      <w:r w:rsidRPr="00162A1D">
        <w:rPr>
          <w:rFonts w:ascii="Arial" w:hAnsi="Arial" w:cs="Arial"/>
          <w:sz w:val="20"/>
          <w:szCs w:val="20"/>
        </w:rPr>
        <w:t xml:space="preserve">y programming and conflict analysis. </w:t>
      </w:r>
    </w:p>
    <w:p w14:paraId="5EC6F40D" w14:textId="0272B95C" w:rsidR="007F5C55" w:rsidRPr="00162A1D" w:rsidRDefault="007F5C55" w:rsidP="000C05CF">
      <w:pPr>
        <w:pStyle w:val="ListParagraph"/>
        <w:numPr>
          <w:ilvl w:val="0"/>
          <w:numId w:val="3"/>
        </w:numPr>
        <w:jc w:val="both"/>
        <w:rPr>
          <w:rFonts w:ascii="Arial" w:hAnsi="Arial" w:cs="Arial"/>
          <w:sz w:val="20"/>
          <w:szCs w:val="20"/>
        </w:rPr>
      </w:pPr>
      <w:r w:rsidRPr="00162A1D">
        <w:rPr>
          <w:rFonts w:ascii="Arial" w:hAnsi="Arial" w:cs="Arial"/>
          <w:sz w:val="20"/>
          <w:szCs w:val="20"/>
        </w:rPr>
        <w:t xml:space="preserve">Best practices, lessons learnt and do’s and dont’s on social stability would also be very useful. </w:t>
      </w:r>
      <w:r w:rsidR="00DE2423">
        <w:rPr>
          <w:rFonts w:ascii="Arial" w:hAnsi="Arial" w:cs="Arial"/>
          <w:sz w:val="20"/>
          <w:szCs w:val="20"/>
        </w:rPr>
        <w:t xml:space="preserve">Parnters of the social stability sector have more appetite than other sectors for cross-sector work and meetings. </w:t>
      </w:r>
    </w:p>
    <w:p w14:paraId="118D8818" w14:textId="77777777" w:rsidR="007F5C55" w:rsidRPr="00162A1D" w:rsidRDefault="007F5C55" w:rsidP="007F5C55">
      <w:pPr>
        <w:jc w:val="both"/>
        <w:rPr>
          <w:rFonts w:ascii="Arial" w:hAnsi="Arial" w:cs="Arial"/>
          <w:sz w:val="20"/>
          <w:szCs w:val="20"/>
        </w:rPr>
      </w:pPr>
      <w:r w:rsidRPr="00162A1D">
        <w:rPr>
          <w:rFonts w:ascii="Arial" w:hAnsi="Arial" w:cs="Arial"/>
          <w:sz w:val="20"/>
          <w:szCs w:val="20"/>
        </w:rPr>
        <w:t xml:space="preserve">Based on this, the social stability core group worked on refining the analysis of results, looking at variations depending on sectors, type of organization, work at national/field level and direct involvement in the social stability sector around the following core topics: </w:t>
      </w:r>
    </w:p>
    <w:p w14:paraId="7DAAAD5F" w14:textId="77777777" w:rsidR="007F5C55" w:rsidRPr="00162A1D" w:rsidRDefault="007F5C55" w:rsidP="007F5C55">
      <w:pPr>
        <w:pStyle w:val="ListParagraph"/>
        <w:numPr>
          <w:ilvl w:val="0"/>
          <w:numId w:val="3"/>
        </w:numPr>
        <w:jc w:val="both"/>
        <w:rPr>
          <w:rFonts w:ascii="Arial" w:hAnsi="Arial" w:cs="Arial"/>
          <w:sz w:val="20"/>
          <w:szCs w:val="20"/>
        </w:rPr>
      </w:pPr>
      <w:r w:rsidRPr="00162A1D">
        <w:rPr>
          <w:rFonts w:ascii="Arial" w:hAnsi="Arial" w:cs="Arial"/>
          <w:sz w:val="20"/>
          <w:szCs w:val="20"/>
        </w:rPr>
        <w:t>Level of information on conflict issues</w:t>
      </w:r>
    </w:p>
    <w:p w14:paraId="17CA1F9B" w14:textId="77777777" w:rsidR="007F5C55" w:rsidRPr="00162A1D" w:rsidRDefault="007F5C55" w:rsidP="007F5C55">
      <w:pPr>
        <w:pStyle w:val="ListParagraph"/>
        <w:numPr>
          <w:ilvl w:val="0"/>
          <w:numId w:val="3"/>
        </w:numPr>
        <w:jc w:val="both"/>
        <w:rPr>
          <w:rFonts w:ascii="Arial" w:hAnsi="Arial" w:cs="Arial"/>
          <w:sz w:val="20"/>
          <w:szCs w:val="20"/>
        </w:rPr>
      </w:pPr>
      <w:r w:rsidRPr="00162A1D">
        <w:rPr>
          <w:rFonts w:ascii="Arial" w:hAnsi="Arial" w:cs="Arial"/>
          <w:sz w:val="20"/>
          <w:szCs w:val="20"/>
        </w:rPr>
        <w:t>Contribution to social stability</w:t>
      </w:r>
    </w:p>
    <w:p w14:paraId="498B64D4" w14:textId="09093371" w:rsidR="007F5C55" w:rsidRPr="00162A1D" w:rsidRDefault="007F48F7" w:rsidP="007F5C55">
      <w:pPr>
        <w:pStyle w:val="ListParagraph"/>
        <w:numPr>
          <w:ilvl w:val="0"/>
          <w:numId w:val="3"/>
        </w:numPr>
        <w:jc w:val="both"/>
        <w:rPr>
          <w:rFonts w:ascii="Arial" w:hAnsi="Arial" w:cs="Arial"/>
          <w:sz w:val="20"/>
          <w:szCs w:val="20"/>
        </w:rPr>
      </w:pPr>
      <w:r>
        <w:rPr>
          <w:rFonts w:ascii="Arial" w:hAnsi="Arial" w:cs="Arial"/>
          <w:sz w:val="20"/>
          <w:szCs w:val="20"/>
        </w:rPr>
        <w:t>Conflict sensitive mechanisms and n</w:t>
      </w:r>
      <w:r w:rsidR="007F5C55" w:rsidRPr="00162A1D">
        <w:rPr>
          <w:rFonts w:ascii="Arial" w:hAnsi="Arial" w:cs="Arial"/>
          <w:sz w:val="20"/>
          <w:szCs w:val="20"/>
        </w:rPr>
        <w:t xml:space="preserve">eed for training and tools. </w:t>
      </w:r>
    </w:p>
    <w:p w14:paraId="03A80704" w14:textId="77777777" w:rsidR="000C05CF" w:rsidRPr="00162A1D" w:rsidRDefault="000C05CF" w:rsidP="000C05CF">
      <w:pPr>
        <w:jc w:val="both"/>
        <w:rPr>
          <w:rFonts w:ascii="Arial" w:hAnsi="Arial" w:cs="Arial"/>
          <w:sz w:val="20"/>
          <w:szCs w:val="20"/>
        </w:rPr>
      </w:pPr>
    </w:p>
    <w:p w14:paraId="6021CA71" w14:textId="77777777" w:rsidR="000C05CF" w:rsidRPr="00162A1D" w:rsidRDefault="007F5C55" w:rsidP="000C05CF">
      <w:pPr>
        <w:jc w:val="both"/>
        <w:rPr>
          <w:rFonts w:ascii="Arial" w:hAnsi="Arial" w:cs="Arial"/>
          <w:b/>
          <w:sz w:val="20"/>
          <w:szCs w:val="20"/>
        </w:rPr>
      </w:pPr>
      <w:r w:rsidRPr="00162A1D">
        <w:rPr>
          <w:rFonts w:ascii="Arial" w:hAnsi="Arial" w:cs="Arial"/>
          <w:b/>
          <w:sz w:val="20"/>
          <w:szCs w:val="20"/>
        </w:rPr>
        <w:lastRenderedPageBreak/>
        <w:t>I- Level of information on conflict issues</w:t>
      </w:r>
    </w:p>
    <w:p w14:paraId="312541E1" w14:textId="77777777" w:rsidR="00AC51FF" w:rsidRPr="00162A1D" w:rsidRDefault="00221D0A" w:rsidP="005673A0">
      <w:pPr>
        <w:pStyle w:val="NoSpacing"/>
        <w:rPr>
          <w:rFonts w:ascii="Arial" w:hAnsi="Arial" w:cs="Arial"/>
          <w:bCs/>
          <w:sz w:val="20"/>
          <w:szCs w:val="20"/>
          <w:shd w:val="clear" w:color="auto" w:fill="FFFFFF"/>
          <w:lang w:val="en-GB"/>
        </w:rPr>
      </w:pPr>
      <w:r w:rsidRPr="00162A1D">
        <w:rPr>
          <w:rFonts w:ascii="Arial" w:hAnsi="Arial" w:cs="Arial"/>
          <w:bCs/>
          <w:sz w:val="20"/>
          <w:szCs w:val="20"/>
          <w:shd w:val="clear" w:color="auto" w:fill="FFFFFF"/>
          <w:lang w:val="en-GB"/>
        </w:rPr>
        <w:t xml:space="preserve">Participants to the survey mention a relatively good level of knowledge of conflict issues in Lebanon, particularly on causes of tensions between refugees and host communities. </w:t>
      </w:r>
    </w:p>
    <w:p w14:paraId="79CB2134" w14:textId="77777777" w:rsidR="00AC51FF" w:rsidRPr="00162A1D" w:rsidRDefault="00AC51FF" w:rsidP="005673A0">
      <w:pPr>
        <w:pStyle w:val="NoSpacing"/>
        <w:rPr>
          <w:rFonts w:ascii="Arial" w:hAnsi="Arial" w:cs="Arial"/>
          <w:bCs/>
          <w:sz w:val="20"/>
          <w:szCs w:val="20"/>
          <w:shd w:val="clear" w:color="auto" w:fill="FFFFFF"/>
          <w:lang w:val="en-GB"/>
        </w:rPr>
      </w:pPr>
    </w:p>
    <w:p w14:paraId="0B602E6A" w14:textId="3D4121FC" w:rsidR="000C05CF" w:rsidRPr="00162A1D" w:rsidRDefault="00221D0A" w:rsidP="005673A0">
      <w:pPr>
        <w:pStyle w:val="NoSpacing"/>
        <w:rPr>
          <w:rFonts w:ascii="Arial" w:hAnsi="Arial" w:cs="Arial"/>
          <w:bCs/>
          <w:sz w:val="20"/>
          <w:szCs w:val="20"/>
          <w:shd w:val="clear" w:color="auto" w:fill="FFFFFF"/>
          <w:lang w:val="en-GB"/>
        </w:rPr>
      </w:pPr>
      <w:r w:rsidRPr="00162A1D">
        <w:rPr>
          <w:rFonts w:ascii="Arial" w:hAnsi="Arial" w:cs="Arial"/>
          <w:bCs/>
          <w:sz w:val="20"/>
          <w:szCs w:val="20"/>
          <w:shd w:val="clear" w:color="auto" w:fill="FFFFFF"/>
          <w:lang w:val="en-GB"/>
        </w:rPr>
        <w:t xml:space="preserve">This seems to be the case across all sectors, with protection and SGBV partners reporting high level of knowledge on the different conflict issues, while </w:t>
      </w:r>
      <w:r w:rsidR="00AC51FF" w:rsidRPr="00162A1D">
        <w:rPr>
          <w:rFonts w:ascii="Arial" w:hAnsi="Arial" w:cs="Arial"/>
          <w:bCs/>
          <w:sz w:val="20"/>
          <w:szCs w:val="20"/>
          <w:shd w:val="clear" w:color="auto" w:fill="FFFFFF"/>
          <w:lang w:val="en-GB"/>
        </w:rPr>
        <w:t xml:space="preserve">partners from education, food security, livelihoods, basic assistance and child protection report lower knowledge on potential conflict triggers and tensions/perceptions of international assistance. </w:t>
      </w:r>
    </w:p>
    <w:p w14:paraId="00C5BF1B" w14:textId="77777777" w:rsidR="00AC51FF" w:rsidRPr="00162A1D" w:rsidRDefault="00AC51FF" w:rsidP="005673A0">
      <w:pPr>
        <w:pStyle w:val="NoSpacing"/>
        <w:rPr>
          <w:rFonts w:ascii="Arial" w:hAnsi="Arial" w:cs="Arial"/>
          <w:bCs/>
          <w:sz w:val="20"/>
          <w:szCs w:val="20"/>
          <w:shd w:val="clear" w:color="auto" w:fill="FFFFFF"/>
          <w:lang w:val="en-GB"/>
        </w:rPr>
      </w:pPr>
    </w:p>
    <w:p w14:paraId="06C19CB7" w14:textId="4CA5C117" w:rsidR="00AC51FF" w:rsidRPr="00162A1D" w:rsidRDefault="00AC51FF" w:rsidP="005673A0">
      <w:pPr>
        <w:pStyle w:val="NoSpacing"/>
        <w:rPr>
          <w:rFonts w:ascii="Arial" w:hAnsi="Arial" w:cs="Arial"/>
          <w:bCs/>
          <w:sz w:val="20"/>
          <w:szCs w:val="20"/>
          <w:shd w:val="clear" w:color="auto" w:fill="FFFFFF"/>
          <w:lang w:val="en-GB"/>
        </w:rPr>
      </w:pPr>
      <w:r w:rsidRPr="00162A1D">
        <w:rPr>
          <w:rFonts w:ascii="Arial" w:hAnsi="Arial" w:cs="Arial"/>
          <w:bCs/>
          <w:sz w:val="20"/>
          <w:szCs w:val="20"/>
          <w:shd w:val="clear" w:color="auto" w:fill="FFFFFF"/>
          <w:lang w:val="en-GB"/>
        </w:rPr>
        <w:t xml:space="preserve">Local NGOs consider themselves better informed than other partners, with INGOs and UN participants considering themselves slightly less informed than average. </w:t>
      </w:r>
    </w:p>
    <w:p w14:paraId="0DED7A6E" w14:textId="77777777" w:rsidR="00AC51FF" w:rsidRPr="00162A1D" w:rsidRDefault="00AC51FF" w:rsidP="005673A0">
      <w:pPr>
        <w:pStyle w:val="NoSpacing"/>
        <w:rPr>
          <w:rFonts w:ascii="Arial" w:hAnsi="Arial" w:cs="Arial"/>
          <w:bCs/>
          <w:sz w:val="20"/>
          <w:szCs w:val="20"/>
          <w:shd w:val="clear" w:color="auto" w:fill="FFFFFF"/>
          <w:lang w:val="en-GB"/>
        </w:rPr>
      </w:pPr>
    </w:p>
    <w:p w14:paraId="6A7E9717" w14:textId="35A022E6" w:rsidR="00AC51FF" w:rsidRPr="00162A1D" w:rsidRDefault="00AC51FF" w:rsidP="005673A0">
      <w:pPr>
        <w:pStyle w:val="NoSpacing"/>
        <w:rPr>
          <w:rFonts w:ascii="Arial" w:hAnsi="Arial" w:cs="Arial"/>
          <w:bCs/>
          <w:sz w:val="20"/>
          <w:szCs w:val="20"/>
          <w:shd w:val="clear" w:color="auto" w:fill="FFFFFF"/>
          <w:lang w:val="en-GB"/>
        </w:rPr>
      </w:pPr>
      <w:r w:rsidRPr="00162A1D">
        <w:rPr>
          <w:rFonts w:ascii="Arial" w:hAnsi="Arial" w:cs="Arial"/>
          <w:noProof/>
          <w:sz w:val="20"/>
          <w:szCs w:val="20"/>
        </w:rPr>
        <w:drawing>
          <wp:inline distT="0" distB="0" distL="0" distR="0" wp14:anchorId="5B67A9F8" wp14:editId="13BB7A68">
            <wp:extent cx="6057900" cy="2933700"/>
            <wp:effectExtent l="0" t="0" r="12700" b="12700"/>
            <wp:docPr id="50" name="Graphique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3E1586D" w14:textId="77777777" w:rsidR="000C05CF" w:rsidRPr="00162A1D" w:rsidRDefault="000C05CF" w:rsidP="005673A0">
      <w:pPr>
        <w:pStyle w:val="NoSpacing"/>
        <w:rPr>
          <w:rFonts w:ascii="Arial" w:hAnsi="Arial" w:cs="Arial"/>
          <w:b/>
          <w:bCs/>
          <w:sz w:val="20"/>
          <w:szCs w:val="20"/>
          <w:shd w:val="clear" w:color="auto" w:fill="FFFFFF"/>
          <w:lang w:val="en-GB"/>
        </w:rPr>
      </w:pPr>
    </w:p>
    <w:p w14:paraId="0F1CE326" w14:textId="7D0E4789" w:rsidR="00AC51FF" w:rsidRPr="00162A1D" w:rsidRDefault="00AC51FF" w:rsidP="005673A0">
      <w:pPr>
        <w:pStyle w:val="NoSpacing"/>
        <w:rPr>
          <w:rFonts w:ascii="Arial" w:hAnsi="Arial" w:cs="Arial"/>
          <w:bCs/>
          <w:sz w:val="20"/>
          <w:szCs w:val="20"/>
          <w:shd w:val="clear" w:color="auto" w:fill="FFFFFF"/>
          <w:lang w:val="en-GB"/>
        </w:rPr>
      </w:pPr>
      <w:r w:rsidRPr="00162A1D">
        <w:rPr>
          <w:rFonts w:ascii="Arial" w:hAnsi="Arial" w:cs="Arial"/>
          <w:bCs/>
          <w:sz w:val="20"/>
          <w:szCs w:val="20"/>
          <w:shd w:val="clear" w:color="auto" w:fill="FFFFFF"/>
          <w:lang w:val="en-GB"/>
        </w:rPr>
        <w:t>Respondents based on the field seems slightly better informed than those at the national level, and social stability partners also report a better level of information on conflict issues.</w:t>
      </w:r>
    </w:p>
    <w:p w14:paraId="373D292A" w14:textId="77777777" w:rsidR="00954020" w:rsidRPr="00162A1D" w:rsidRDefault="00954020" w:rsidP="00954020">
      <w:pPr>
        <w:pStyle w:val="NoSpacing"/>
        <w:rPr>
          <w:rFonts w:ascii="Arial" w:hAnsi="Arial" w:cs="Arial"/>
          <w:b/>
          <w:bCs/>
          <w:sz w:val="20"/>
          <w:szCs w:val="20"/>
          <w:shd w:val="clear" w:color="auto" w:fill="FFFFFF"/>
          <w:lang w:val="en-GB"/>
        </w:rPr>
      </w:pPr>
    </w:p>
    <w:p w14:paraId="4060F1E5" w14:textId="5BF6BDCC" w:rsidR="00954020" w:rsidRPr="00162A1D" w:rsidRDefault="00AC51FF" w:rsidP="00954020">
      <w:pPr>
        <w:pStyle w:val="NoSpacing"/>
        <w:rPr>
          <w:rFonts w:ascii="Arial" w:hAnsi="Arial" w:cs="Arial"/>
          <w:b/>
          <w:bCs/>
          <w:sz w:val="20"/>
          <w:szCs w:val="20"/>
          <w:shd w:val="clear" w:color="auto" w:fill="FFFFFF"/>
          <w:lang w:val="en-GB"/>
        </w:rPr>
      </w:pPr>
      <w:r w:rsidRPr="00162A1D">
        <w:rPr>
          <w:rFonts w:ascii="Arial" w:hAnsi="Arial" w:cs="Arial"/>
          <w:noProof/>
          <w:sz w:val="20"/>
          <w:szCs w:val="20"/>
        </w:rPr>
        <w:drawing>
          <wp:inline distT="0" distB="0" distL="0" distR="0" wp14:anchorId="23DC2BE1" wp14:editId="4A6A4BFD">
            <wp:extent cx="6172200" cy="2400300"/>
            <wp:effectExtent l="0" t="0" r="25400" b="12700"/>
            <wp:docPr id="51" name="Graphique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22CBC86" w14:textId="77777777" w:rsidR="00954020" w:rsidRPr="00162A1D" w:rsidRDefault="00954020" w:rsidP="005673A0">
      <w:pPr>
        <w:pStyle w:val="NoSpacing"/>
        <w:rPr>
          <w:rFonts w:ascii="Arial" w:hAnsi="Arial" w:cs="Arial"/>
          <w:b/>
          <w:bCs/>
          <w:sz w:val="20"/>
          <w:szCs w:val="20"/>
          <w:shd w:val="clear" w:color="auto" w:fill="FFFFFF"/>
          <w:lang w:val="en-GB"/>
        </w:rPr>
      </w:pPr>
    </w:p>
    <w:p w14:paraId="583917A3" w14:textId="77777777" w:rsidR="00AC51FF" w:rsidRPr="00162A1D" w:rsidRDefault="00AC51FF" w:rsidP="005673A0">
      <w:pPr>
        <w:pStyle w:val="NoSpacing"/>
        <w:rPr>
          <w:rFonts w:ascii="Arial" w:hAnsi="Arial" w:cs="Arial"/>
          <w:b/>
          <w:bCs/>
          <w:sz w:val="20"/>
          <w:szCs w:val="20"/>
          <w:shd w:val="clear" w:color="auto" w:fill="FFFFFF"/>
          <w:lang w:val="en-GB"/>
        </w:rPr>
      </w:pPr>
    </w:p>
    <w:p w14:paraId="694954D1" w14:textId="2FD6F5B1" w:rsidR="00954020" w:rsidRPr="00162A1D" w:rsidRDefault="00AC51FF" w:rsidP="005673A0">
      <w:pPr>
        <w:pStyle w:val="NoSpacing"/>
        <w:rPr>
          <w:rFonts w:ascii="Arial" w:hAnsi="Arial" w:cs="Arial"/>
          <w:b/>
          <w:bCs/>
          <w:sz w:val="20"/>
          <w:szCs w:val="20"/>
          <w:shd w:val="clear" w:color="auto" w:fill="FFFFFF"/>
          <w:lang w:val="en-GB"/>
        </w:rPr>
      </w:pPr>
      <w:r w:rsidRPr="00162A1D">
        <w:rPr>
          <w:rFonts w:ascii="Arial" w:hAnsi="Arial" w:cs="Arial"/>
          <w:b/>
          <w:bCs/>
          <w:sz w:val="20"/>
          <w:szCs w:val="20"/>
          <w:shd w:val="clear" w:color="auto" w:fill="FFFFFF"/>
          <w:lang w:val="en-GB"/>
        </w:rPr>
        <w:lastRenderedPageBreak/>
        <w:t xml:space="preserve">II – Contribution to social stability </w:t>
      </w:r>
    </w:p>
    <w:p w14:paraId="3D47C498" w14:textId="77777777" w:rsidR="00954020" w:rsidRPr="00162A1D" w:rsidRDefault="00954020" w:rsidP="005673A0">
      <w:pPr>
        <w:pStyle w:val="NoSpacing"/>
        <w:rPr>
          <w:rFonts w:ascii="Arial" w:hAnsi="Arial" w:cs="Arial"/>
          <w:sz w:val="20"/>
          <w:szCs w:val="20"/>
          <w:shd w:val="clear" w:color="auto" w:fill="FFFFFF"/>
          <w:lang w:val="en-GB"/>
        </w:rPr>
      </w:pPr>
    </w:p>
    <w:p w14:paraId="58729E3D" w14:textId="6549E172" w:rsidR="00577C5D" w:rsidRPr="00F61FF5" w:rsidRDefault="007F48F7">
      <w:pPr>
        <w:rPr>
          <w:rFonts w:ascii="Arial" w:hAnsi="Arial" w:cs="Arial"/>
          <w:sz w:val="20"/>
          <w:szCs w:val="20"/>
          <w:shd w:val="clear" w:color="auto" w:fill="FFFFFF"/>
          <w:lang w:val="en-GB"/>
        </w:rPr>
      </w:pPr>
      <w:r w:rsidRPr="00577C5D">
        <w:rPr>
          <w:noProof/>
          <w:sz w:val="24"/>
          <w:szCs w:val="24"/>
        </w:rPr>
        <w:drawing>
          <wp:anchor distT="0" distB="0" distL="114300" distR="114300" simplePos="0" relativeHeight="251660288" behindDoc="0" locked="0" layoutInCell="1" allowOverlap="1" wp14:anchorId="3F057E82" wp14:editId="5E48DD29">
            <wp:simplePos x="0" y="0"/>
            <wp:positionH relativeFrom="column">
              <wp:posOffset>-571500</wp:posOffset>
            </wp:positionH>
            <wp:positionV relativeFrom="paragraph">
              <wp:posOffset>1765300</wp:posOffset>
            </wp:positionV>
            <wp:extent cx="7200900" cy="4914900"/>
            <wp:effectExtent l="0" t="0" r="12700" b="12700"/>
            <wp:wrapSquare wrapText="bothSides"/>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162A1D">
        <w:rPr>
          <w:rFonts w:ascii="Arial" w:hAnsi="Arial" w:cs="Arial"/>
          <w:sz w:val="20"/>
          <w:szCs w:val="20"/>
          <w:shd w:val="clear" w:color="auto" w:fill="FFFFFF"/>
          <w:lang w:val="en-GB"/>
        </w:rPr>
        <w:t>An overwhelming majority of partners consider they are contributing to social stability (85% of respondents</w:t>
      </w:r>
      <w:r w:rsidR="00577C5D">
        <w:rPr>
          <w:rFonts w:ascii="Arial" w:hAnsi="Arial" w:cs="Arial"/>
          <w:sz w:val="20"/>
          <w:szCs w:val="20"/>
          <w:shd w:val="clear" w:color="auto" w:fill="FFFFFF"/>
          <w:lang w:val="en-GB"/>
        </w:rPr>
        <w:t xml:space="preserve"> </w:t>
      </w:r>
      <w:r w:rsidR="00162A1D">
        <w:rPr>
          <w:rFonts w:ascii="Arial" w:hAnsi="Arial" w:cs="Arial"/>
          <w:sz w:val="20"/>
          <w:szCs w:val="20"/>
          <w:shd w:val="clear" w:color="auto" w:fill="FFFFFF"/>
          <w:lang w:val="en-GB"/>
        </w:rPr>
        <w:t xml:space="preserve">), primarily by targeting both host communities and refugees and by strengthening the role of local institutions in the crisis. </w:t>
      </w:r>
      <w:r w:rsidR="00071270">
        <w:rPr>
          <w:rFonts w:ascii="Arial" w:hAnsi="Arial" w:cs="Arial"/>
          <w:sz w:val="20"/>
          <w:szCs w:val="20"/>
          <w:shd w:val="clear" w:color="auto" w:fill="FFFFFF"/>
          <w:lang w:val="en-GB"/>
        </w:rPr>
        <w:t>This is consistent a</w:t>
      </w:r>
      <w:r w:rsidR="00577C5D">
        <w:rPr>
          <w:rFonts w:ascii="Arial" w:hAnsi="Arial" w:cs="Arial"/>
          <w:sz w:val="20"/>
          <w:szCs w:val="20"/>
          <w:shd w:val="clear" w:color="auto" w:fill="FFFFFF"/>
          <w:lang w:val="en-GB"/>
        </w:rPr>
        <w:t xml:space="preserve">cross all sectors, </w:t>
      </w:r>
      <w:r w:rsidR="00071270">
        <w:rPr>
          <w:rFonts w:ascii="Arial" w:hAnsi="Arial" w:cs="Arial"/>
          <w:sz w:val="20"/>
          <w:szCs w:val="20"/>
          <w:shd w:val="clear" w:color="auto" w:fill="FFFFFF"/>
          <w:lang w:val="en-GB"/>
        </w:rPr>
        <w:t xml:space="preserve">with education partners particularly supporting civic education/engagement, health, protection and WASH partners supporting more basic serivces while more humanitarian sectors target less host communities. </w:t>
      </w:r>
      <w:r w:rsidR="00577C5D">
        <w:rPr>
          <w:rFonts w:ascii="Arial" w:hAnsi="Arial" w:cs="Arial"/>
          <w:sz w:val="20"/>
          <w:szCs w:val="20"/>
          <w:shd w:val="clear" w:color="auto" w:fill="FFFFFF"/>
          <w:lang w:val="en-GB"/>
        </w:rPr>
        <w:t xml:space="preserve">UN Agencies respondents consider that their programs contribute more to social stability than other organizations, particularly when it comes to working with public institutions, which is broadly in line with the fact that UN agencies work more directly with public institutions at central and local level. </w:t>
      </w:r>
    </w:p>
    <w:p w14:paraId="4A5B1704" w14:textId="5E75B912" w:rsidR="007F48F7" w:rsidRDefault="007F48F7">
      <w:pPr>
        <w:rPr>
          <w:rFonts w:ascii="Arial" w:hAnsi="Arial" w:cs="Arial"/>
          <w:sz w:val="20"/>
          <w:szCs w:val="20"/>
          <w:shd w:val="clear" w:color="auto" w:fill="FFFFFF"/>
          <w:lang w:val="en-GB"/>
        </w:rPr>
      </w:pPr>
    </w:p>
    <w:p w14:paraId="238EDD5B" w14:textId="0D0C5466" w:rsidR="007F48F7" w:rsidRDefault="007F48F7">
      <w:pPr>
        <w:rPr>
          <w:rFonts w:ascii="Arial" w:hAnsi="Arial" w:cs="Arial"/>
          <w:sz w:val="20"/>
          <w:szCs w:val="20"/>
          <w:shd w:val="clear" w:color="auto" w:fill="FFFFFF"/>
          <w:lang w:val="en-GB"/>
        </w:rPr>
      </w:pPr>
    </w:p>
    <w:p w14:paraId="2C5950BA" w14:textId="77777777" w:rsidR="007F48F7" w:rsidRDefault="007F48F7">
      <w:pPr>
        <w:rPr>
          <w:rFonts w:ascii="Arial" w:hAnsi="Arial" w:cs="Arial"/>
          <w:sz w:val="20"/>
          <w:szCs w:val="20"/>
          <w:shd w:val="clear" w:color="auto" w:fill="FFFFFF"/>
          <w:lang w:val="en-GB"/>
        </w:rPr>
      </w:pPr>
    </w:p>
    <w:p w14:paraId="063DBC17" w14:textId="77777777" w:rsidR="00DE2423" w:rsidRDefault="00DE2423">
      <w:pPr>
        <w:rPr>
          <w:rFonts w:ascii="Arial" w:hAnsi="Arial" w:cs="Arial"/>
          <w:sz w:val="20"/>
          <w:szCs w:val="20"/>
          <w:shd w:val="clear" w:color="auto" w:fill="FFFFFF"/>
          <w:lang w:val="en-GB"/>
        </w:rPr>
      </w:pPr>
    </w:p>
    <w:p w14:paraId="332962BB" w14:textId="5354D64B" w:rsidR="00071270" w:rsidRDefault="00577C5D">
      <w:pPr>
        <w:rPr>
          <w:rFonts w:ascii="Arial" w:hAnsi="Arial" w:cs="Arial"/>
          <w:sz w:val="20"/>
          <w:szCs w:val="20"/>
          <w:shd w:val="clear" w:color="auto" w:fill="FFFFFF"/>
          <w:lang w:val="en-GB"/>
        </w:rPr>
      </w:pPr>
      <w:r>
        <w:rPr>
          <w:rFonts w:ascii="Arial" w:hAnsi="Arial" w:cs="Arial"/>
          <w:sz w:val="20"/>
          <w:szCs w:val="20"/>
          <w:shd w:val="clear" w:color="auto" w:fill="FFFFFF"/>
          <w:lang w:val="en-GB"/>
        </w:rPr>
        <w:lastRenderedPageBreak/>
        <w:t xml:space="preserve">Unsurprisingly, respondents based on the field report a higher contribution to social stability </w:t>
      </w:r>
      <w:r w:rsidR="00071270">
        <w:rPr>
          <w:rFonts w:ascii="Arial" w:hAnsi="Arial" w:cs="Arial"/>
          <w:sz w:val="20"/>
          <w:szCs w:val="20"/>
          <w:shd w:val="clear" w:color="auto" w:fill="FFFFFF"/>
          <w:lang w:val="en-GB"/>
        </w:rPr>
        <w:t xml:space="preserve">across all responses options </w:t>
      </w:r>
      <w:r>
        <w:rPr>
          <w:rFonts w:ascii="Arial" w:hAnsi="Arial" w:cs="Arial"/>
          <w:sz w:val="20"/>
          <w:szCs w:val="20"/>
          <w:shd w:val="clear" w:color="auto" w:fill="FFFFFF"/>
          <w:lang w:val="en-GB"/>
        </w:rPr>
        <w:t>than those based at the nation</w:t>
      </w:r>
      <w:r w:rsidR="007F48F7">
        <w:rPr>
          <w:rFonts w:ascii="Arial" w:hAnsi="Arial" w:cs="Arial"/>
          <w:sz w:val="20"/>
          <w:szCs w:val="20"/>
          <w:shd w:val="clear" w:color="auto" w:fill="FFFFFF"/>
          <w:lang w:val="en-GB"/>
        </w:rPr>
        <w:t>al level. This</w:t>
      </w:r>
      <w:r w:rsidR="00071270">
        <w:rPr>
          <w:rFonts w:ascii="Arial" w:hAnsi="Arial" w:cs="Arial"/>
          <w:sz w:val="20"/>
          <w:szCs w:val="20"/>
          <w:shd w:val="clear" w:color="auto" w:fill="FFFFFF"/>
          <w:lang w:val="en-GB"/>
        </w:rPr>
        <w:t xml:space="preserve"> is also true for social</w:t>
      </w:r>
      <w:r w:rsidR="007F48F7">
        <w:rPr>
          <w:rFonts w:ascii="Arial" w:hAnsi="Arial" w:cs="Arial"/>
          <w:sz w:val="20"/>
          <w:szCs w:val="20"/>
          <w:shd w:val="clear" w:color="auto" w:fill="FFFFFF"/>
          <w:lang w:val="en-GB"/>
        </w:rPr>
        <w:t xml:space="preserve"> stability partners vs. partners not member of the sector, who report lower contribution to social stability accross all five </w:t>
      </w:r>
      <w:r w:rsidR="007F48F7">
        <w:rPr>
          <w:noProof/>
        </w:rPr>
        <w:drawing>
          <wp:anchor distT="0" distB="0" distL="114300" distR="114300" simplePos="0" relativeHeight="251659264" behindDoc="0" locked="0" layoutInCell="1" allowOverlap="1" wp14:anchorId="29C50B56" wp14:editId="41A629B7">
            <wp:simplePos x="0" y="0"/>
            <wp:positionH relativeFrom="column">
              <wp:posOffset>-457200</wp:posOffset>
            </wp:positionH>
            <wp:positionV relativeFrom="paragraph">
              <wp:posOffset>1028700</wp:posOffset>
            </wp:positionV>
            <wp:extent cx="7200900" cy="2717800"/>
            <wp:effectExtent l="0" t="0" r="12700" b="25400"/>
            <wp:wrapSquare wrapText="bothSides"/>
            <wp:docPr id="53" name="Graphique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7F48F7">
        <w:rPr>
          <w:rFonts w:ascii="Arial" w:hAnsi="Arial" w:cs="Arial"/>
          <w:sz w:val="20"/>
          <w:szCs w:val="20"/>
          <w:shd w:val="clear" w:color="auto" w:fill="FFFFFF"/>
          <w:lang w:val="en-GB"/>
        </w:rPr>
        <w:t xml:space="preserve">criterias. </w:t>
      </w:r>
    </w:p>
    <w:p w14:paraId="34421B46" w14:textId="06836971" w:rsidR="00071270" w:rsidRDefault="00071270">
      <w:pPr>
        <w:rPr>
          <w:rFonts w:ascii="Arial" w:hAnsi="Arial" w:cs="Arial"/>
          <w:sz w:val="20"/>
          <w:szCs w:val="20"/>
          <w:shd w:val="clear" w:color="auto" w:fill="FFFFFF"/>
          <w:lang w:val="en-GB"/>
        </w:rPr>
      </w:pPr>
    </w:p>
    <w:p w14:paraId="40A3FC9E" w14:textId="7A70B936" w:rsidR="007F48F7" w:rsidRDefault="007F48F7">
      <w:pPr>
        <w:rPr>
          <w:rFonts w:ascii="Arial" w:hAnsi="Arial" w:cs="Arial"/>
          <w:sz w:val="20"/>
          <w:szCs w:val="20"/>
          <w:shd w:val="clear" w:color="auto" w:fill="FFFFFF"/>
          <w:lang w:val="en-GB"/>
        </w:rPr>
      </w:pPr>
      <w:r>
        <w:rPr>
          <w:noProof/>
        </w:rPr>
        <w:drawing>
          <wp:anchor distT="0" distB="0" distL="114300" distR="114300" simplePos="0" relativeHeight="251658240" behindDoc="0" locked="0" layoutInCell="1" allowOverlap="1" wp14:anchorId="50DFCC99" wp14:editId="169E6096">
            <wp:simplePos x="0" y="0"/>
            <wp:positionH relativeFrom="column">
              <wp:posOffset>-457200</wp:posOffset>
            </wp:positionH>
            <wp:positionV relativeFrom="paragraph">
              <wp:posOffset>505460</wp:posOffset>
            </wp:positionV>
            <wp:extent cx="7200900" cy="2489200"/>
            <wp:effectExtent l="0" t="0" r="12700" b="25400"/>
            <wp:wrapSquare wrapText="bothSides"/>
            <wp:docPr id="52" name="Graphique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Pr>
          <w:rFonts w:ascii="Arial" w:hAnsi="Arial" w:cs="Arial"/>
          <w:sz w:val="20"/>
          <w:szCs w:val="20"/>
          <w:shd w:val="clear" w:color="auto" w:fill="FFFFFF"/>
          <w:lang w:val="en-GB"/>
        </w:rPr>
        <w:br w:type="page"/>
      </w:r>
    </w:p>
    <w:p w14:paraId="4DA88878" w14:textId="42548CA2" w:rsidR="00F61FF5" w:rsidRPr="007F48F7" w:rsidRDefault="00F61FF5" w:rsidP="00F61FF5">
      <w:pPr>
        <w:jc w:val="both"/>
        <w:rPr>
          <w:rFonts w:ascii="Arial" w:hAnsi="Arial" w:cs="Arial"/>
          <w:b/>
          <w:sz w:val="20"/>
          <w:szCs w:val="20"/>
        </w:rPr>
      </w:pPr>
      <w:r w:rsidRPr="007F48F7">
        <w:rPr>
          <w:rFonts w:ascii="Arial" w:hAnsi="Arial" w:cs="Arial"/>
          <w:b/>
          <w:sz w:val="20"/>
          <w:szCs w:val="20"/>
          <w:shd w:val="clear" w:color="auto" w:fill="FFFFFF"/>
          <w:lang w:val="en-GB"/>
        </w:rPr>
        <w:lastRenderedPageBreak/>
        <w:t xml:space="preserve">III </w:t>
      </w:r>
      <w:r w:rsidR="000D3706" w:rsidRPr="007F48F7">
        <w:rPr>
          <w:rFonts w:ascii="Arial" w:hAnsi="Arial" w:cs="Arial"/>
          <w:b/>
          <w:sz w:val="20"/>
          <w:szCs w:val="20"/>
          <w:shd w:val="clear" w:color="auto" w:fill="FFFFFF"/>
          <w:lang w:val="en-GB"/>
        </w:rPr>
        <w:t>–</w:t>
      </w:r>
      <w:r w:rsidRPr="007F48F7">
        <w:rPr>
          <w:rFonts w:ascii="Arial" w:hAnsi="Arial" w:cs="Arial"/>
          <w:b/>
          <w:sz w:val="20"/>
          <w:szCs w:val="20"/>
          <w:shd w:val="clear" w:color="auto" w:fill="FFFFFF"/>
          <w:lang w:val="en-GB"/>
        </w:rPr>
        <w:t xml:space="preserve"> </w:t>
      </w:r>
      <w:r w:rsidR="000D3706" w:rsidRPr="007F48F7">
        <w:rPr>
          <w:rFonts w:ascii="Arial" w:hAnsi="Arial" w:cs="Arial"/>
          <w:b/>
          <w:sz w:val="20"/>
          <w:szCs w:val="20"/>
        </w:rPr>
        <w:t>Support for social stability and conflict sensitivity</w:t>
      </w:r>
    </w:p>
    <w:p w14:paraId="39AD44AA" w14:textId="2F2086B7" w:rsidR="000D3706" w:rsidRDefault="000D3706" w:rsidP="00F61FF5">
      <w:pPr>
        <w:jc w:val="both"/>
        <w:rPr>
          <w:rFonts w:ascii="Arial" w:hAnsi="Arial" w:cs="Arial"/>
          <w:sz w:val="20"/>
          <w:szCs w:val="20"/>
        </w:rPr>
      </w:pPr>
      <w:r>
        <w:rPr>
          <w:rFonts w:ascii="Arial" w:hAnsi="Arial" w:cs="Arial"/>
          <w:sz w:val="20"/>
          <w:szCs w:val="20"/>
        </w:rPr>
        <w:t xml:space="preserve">Despite reporting good knowledge of conflict issues and considering a high contribution to social stability, only a few participants responded that their organization had an internal mechanism in place to ensure that their programmes where conflict sensitive. Across sectors, it seems that only a third or organizations had a mechanism in place, in contrast with the two third reporting contributing to social stability. </w:t>
      </w:r>
    </w:p>
    <w:p w14:paraId="43850AC6" w14:textId="616B113E" w:rsidR="00F61FF5" w:rsidRDefault="000D3706" w:rsidP="00F61FF5">
      <w:pPr>
        <w:jc w:val="both"/>
        <w:rPr>
          <w:rFonts w:ascii="Arial" w:hAnsi="Arial" w:cs="Arial"/>
          <w:sz w:val="20"/>
          <w:szCs w:val="20"/>
        </w:rPr>
      </w:pPr>
      <w:r>
        <w:rPr>
          <w:rFonts w:ascii="Arial" w:hAnsi="Arial" w:cs="Arial"/>
          <w:sz w:val="20"/>
          <w:szCs w:val="20"/>
        </w:rPr>
        <w:t>This is also in line with the training needs reported by partners. There seems to be a big appetite for trainings, in particular on conflict sensitive programming and confl</w:t>
      </w:r>
      <w:r w:rsidR="004D738D">
        <w:rPr>
          <w:rFonts w:ascii="Arial" w:hAnsi="Arial" w:cs="Arial"/>
          <w:sz w:val="20"/>
          <w:szCs w:val="20"/>
        </w:rPr>
        <w:t>ict sensitivity in the programme</w:t>
      </w:r>
      <w:r>
        <w:rPr>
          <w:rFonts w:ascii="Arial" w:hAnsi="Arial" w:cs="Arial"/>
          <w:sz w:val="20"/>
          <w:szCs w:val="20"/>
        </w:rPr>
        <w:t xml:space="preserve"> cycle, as well as for conflict analysis. This is the case across sectors, with basic assistance and shelter also reporting appetite for other trainings, particularly in mediation and negotiation. </w:t>
      </w:r>
      <w:r w:rsidR="004D738D">
        <w:rPr>
          <w:rFonts w:ascii="Arial" w:hAnsi="Arial" w:cs="Arial"/>
          <w:sz w:val="20"/>
          <w:szCs w:val="20"/>
        </w:rPr>
        <w:t xml:space="preserve">Field respondents also reported a higher need for training on humanitarian access and acceptance and do no harm. </w:t>
      </w:r>
    </w:p>
    <w:p w14:paraId="2098D163" w14:textId="7B5C968E" w:rsidR="004D738D" w:rsidRDefault="004D738D" w:rsidP="00F61FF5">
      <w:pPr>
        <w:jc w:val="both"/>
        <w:rPr>
          <w:rFonts w:ascii="Arial" w:hAnsi="Arial" w:cs="Arial"/>
          <w:sz w:val="20"/>
          <w:szCs w:val="20"/>
        </w:rPr>
      </w:pPr>
      <w:r>
        <w:rPr>
          <w:noProof/>
        </w:rPr>
        <w:drawing>
          <wp:inline distT="0" distB="0" distL="0" distR="0" wp14:anchorId="2A08B648" wp14:editId="185C46E0">
            <wp:extent cx="5943600" cy="2336800"/>
            <wp:effectExtent l="0" t="0" r="25400" b="25400"/>
            <wp:docPr id="55" name="Graphique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B1E9C10" w14:textId="1DE4F951" w:rsidR="00AC51FF" w:rsidRPr="00E348D7" w:rsidRDefault="00E348D7" w:rsidP="00E348D7">
      <w:pPr>
        <w:jc w:val="both"/>
        <w:rPr>
          <w:rFonts w:ascii="Arial" w:hAnsi="Arial" w:cs="Arial"/>
          <w:sz w:val="20"/>
          <w:szCs w:val="20"/>
        </w:rPr>
      </w:pPr>
      <w:r>
        <w:rPr>
          <w:noProof/>
        </w:rPr>
        <w:drawing>
          <wp:anchor distT="0" distB="0" distL="114300" distR="114300" simplePos="0" relativeHeight="251661312" behindDoc="0" locked="0" layoutInCell="1" allowOverlap="1" wp14:anchorId="0FF3F58C" wp14:editId="3DB0CC2C">
            <wp:simplePos x="0" y="0"/>
            <wp:positionH relativeFrom="column">
              <wp:posOffset>0</wp:posOffset>
            </wp:positionH>
            <wp:positionV relativeFrom="paragraph">
              <wp:posOffset>1029335</wp:posOffset>
            </wp:positionV>
            <wp:extent cx="6400800" cy="2743200"/>
            <wp:effectExtent l="0" t="0" r="25400" b="25400"/>
            <wp:wrapSquare wrapText="bothSides"/>
            <wp:docPr id="54" name="Graphique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4D738D">
        <w:rPr>
          <w:rFonts w:ascii="Arial" w:hAnsi="Arial" w:cs="Arial"/>
          <w:sz w:val="20"/>
          <w:szCs w:val="20"/>
        </w:rPr>
        <w:t xml:space="preserve">Finally, there seems to be a clear consensus on the need for a consolidation of lessons learnt and best practices on social stability programming. This was ranked as the most useful support the sector could provide across organizations and sectors. While there seem to be more appetite for cross-sectoral work from social stability partners who also favor joined working group sessions, partners from other sectors also need guidelines on participatory processes and social stability mainstreaming.  </w:t>
      </w:r>
    </w:p>
    <w:p w14:paraId="65B3C21C" w14:textId="54EC1CFB" w:rsidR="00AC51FF" w:rsidRPr="00162A1D" w:rsidRDefault="00DE2423">
      <w:pPr>
        <w:rPr>
          <w:rFonts w:ascii="Arial" w:hAnsi="Arial" w:cs="Arial"/>
          <w:b/>
          <w:sz w:val="20"/>
          <w:szCs w:val="20"/>
          <w:shd w:val="clear" w:color="auto" w:fill="FFFFFF"/>
          <w:lang w:val="en-GB"/>
        </w:rPr>
      </w:pPr>
      <w:r>
        <w:rPr>
          <w:rFonts w:ascii="Arial" w:hAnsi="Arial" w:cs="Arial"/>
          <w:b/>
          <w:sz w:val="20"/>
          <w:szCs w:val="20"/>
          <w:shd w:val="clear" w:color="auto" w:fill="FFFFFF"/>
          <w:lang w:val="en-GB"/>
        </w:rPr>
        <w:lastRenderedPageBreak/>
        <w:t>Annexe: Sector specific results</w:t>
      </w:r>
    </w:p>
    <w:p w14:paraId="5FCF25EB" w14:textId="061E152A" w:rsidR="00EA6E35" w:rsidRPr="00162A1D" w:rsidRDefault="00EA6E35" w:rsidP="00EA6E35">
      <w:pPr>
        <w:jc w:val="center"/>
        <w:rPr>
          <w:rFonts w:ascii="Arial" w:hAnsi="Arial" w:cs="Arial"/>
          <w:b/>
          <w:sz w:val="20"/>
          <w:szCs w:val="20"/>
          <w:shd w:val="clear" w:color="auto" w:fill="FFFFFF"/>
          <w:lang w:val="en-GB"/>
        </w:rPr>
      </w:pPr>
      <w:r w:rsidRPr="00162A1D">
        <w:rPr>
          <w:rFonts w:ascii="Arial" w:hAnsi="Arial" w:cs="Arial"/>
          <w:b/>
          <w:sz w:val="20"/>
          <w:szCs w:val="20"/>
          <w:shd w:val="clear" w:color="auto" w:fill="FFFFFF"/>
          <w:lang w:val="en-GB"/>
        </w:rPr>
        <w:t>WASH: 33 respondents</w:t>
      </w:r>
    </w:p>
    <w:p w14:paraId="28EE8489"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Strongest sectoral overlaps: Protection (17) Livelihoods (21) and Social Stability (17) and shelter (16)</w:t>
      </w:r>
    </w:p>
    <w:p w14:paraId="615F3F47"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15 of these have appealed under Social Stability in the LCRP and a further 18 are implementing projects which indirectly contribute to social stability</w:t>
      </w:r>
    </w:p>
    <w:p w14:paraId="1E0B79E3"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Knowledge of conflict issues</w:t>
      </w:r>
    </w:p>
    <w:p w14:paraId="394FACF1"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On a scale from 1 to 5, how do you rate your knowledge on the following aspects of conflict/social stability analysis (from 1- no specific knowledge to 5- advanced knowledge):  </w:t>
      </w:r>
    </w:p>
    <w:p w14:paraId="40AA6B39"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21B9C2DA" wp14:editId="6E74FB23">
            <wp:extent cx="4572000" cy="2743200"/>
            <wp:effectExtent l="0" t="0" r="25400" b="2540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E04318" w14:textId="77777777" w:rsidR="00EA6E35" w:rsidRPr="00162A1D" w:rsidRDefault="00EA6E35" w:rsidP="00EA6E35">
      <w:pPr>
        <w:rPr>
          <w:rFonts w:ascii="Arial" w:hAnsi="Arial" w:cs="Arial"/>
          <w:i/>
          <w:iCs/>
          <w:sz w:val="20"/>
          <w:szCs w:val="20"/>
          <w:shd w:val="clear" w:color="auto" w:fill="FFFFFF"/>
          <w:lang w:val="en-GB"/>
        </w:rPr>
      </w:pPr>
      <w:r w:rsidRPr="00162A1D">
        <w:rPr>
          <w:rFonts w:ascii="Arial" w:hAnsi="Arial" w:cs="Arial"/>
          <w:i/>
          <w:iCs/>
          <w:sz w:val="20"/>
          <w:szCs w:val="20"/>
          <w:shd w:val="clear" w:color="auto" w:fill="FFFFFF"/>
          <w:lang w:val="en-GB"/>
        </w:rPr>
        <w:t xml:space="preserve">Weakest areas of knowledge are in the structural causes of conflicts in Lebanon, and the conflict triggers </w:t>
      </w:r>
    </w:p>
    <w:p w14:paraId="0A7AE450"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Contribution to social stability </w:t>
      </w:r>
    </w:p>
    <w:p w14:paraId="27957674" w14:textId="77777777" w:rsidR="00EA6E35" w:rsidRPr="00162A1D" w:rsidRDefault="00EA6E35" w:rsidP="00EA6E35">
      <w:p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23/33 consider that their organisation’s programs in Lebanon contribute to social stability</w:t>
      </w:r>
    </w:p>
    <w:p w14:paraId="2BEE0C1F" w14:textId="77777777" w:rsidR="00EA6E35" w:rsidRPr="00162A1D" w:rsidRDefault="00EA6E35" w:rsidP="00EA6E35">
      <w:pPr>
        <w:jc w:val="both"/>
        <w:rPr>
          <w:rFonts w:ascii="Arial" w:hAnsi="Arial" w:cs="Arial"/>
          <w:sz w:val="20"/>
          <w:szCs w:val="20"/>
          <w:shd w:val="clear" w:color="auto" w:fill="FFFFFF"/>
          <w:lang w:val="en-GB"/>
        </w:rPr>
      </w:pPr>
      <w:r w:rsidRPr="00162A1D">
        <w:rPr>
          <w:rFonts w:ascii="Arial" w:hAnsi="Arial" w:cs="Arial"/>
          <w:noProof/>
          <w:sz w:val="20"/>
          <w:szCs w:val="20"/>
        </w:rPr>
        <w:lastRenderedPageBreak/>
        <w:drawing>
          <wp:inline distT="0" distB="0" distL="0" distR="0" wp14:anchorId="18D354AB" wp14:editId="7E63EDC6">
            <wp:extent cx="4572000" cy="2743200"/>
            <wp:effectExtent l="0" t="0" r="25400" b="2540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53BBC7" w14:textId="77777777" w:rsidR="00EA6E35" w:rsidRPr="00162A1D" w:rsidRDefault="00EA6E35" w:rsidP="00EA6E35">
      <w:pPr>
        <w:jc w:val="both"/>
        <w:rPr>
          <w:rFonts w:ascii="Arial" w:hAnsi="Arial" w:cs="Arial"/>
          <w:i/>
          <w:iCs/>
          <w:sz w:val="20"/>
          <w:szCs w:val="20"/>
          <w:shd w:val="clear" w:color="auto" w:fill="FFFFFF"/>
          <w:lang w:val="en-GB"/>
        </w:rPr>
      </w:pPr>
      <w:r w:rsidRPr="00162A1D">
        <w:rPr>
          <w:rFonts w:ascii="Arial" w:hAnsi="Arial" w:cs="Arial"/>
          <w:i/>
          <w:iCs/>
          <w:sz w:val="20"/>
          <w:szCs w:val="20"/>
          <w:shd w:val="clear" w:color="auto" w:fill="FFFFFF"/>
          <w:lang w:val="en-GB"/>
        </w:rPr>
        <w:t>Most WASH agencies consider their programs contribute to Social Stability through bringing different communities together or through support to basic serivces, strengthening the role of local institutions and authorities, and targeting both host and refugee communities. It is not surprising considering the nature of WASH projects, typically benefitting all members in one location and done in partnership with local institutions. However the results clearly show that few wash actors include a soft element in their activities.</w:t>
      </w:r>
    </w:p>
    <w:p w14:paraId="3557BC2D"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Work with Public Institutions </w:t>
      </w:r>
    </w:p>
    <w:p w14:paraId="01DADFFF" w14:textId="77777777" w:rsidR="00EA6E35" w:rsidRPr="00162A1D" w:rsidRDefault="00EA6E35" w:rsidP="00EA6E35">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Average: </w:t>
      </w:r>
      <w:r w:rsidRPr="00162A1D">
        <w:rPr>
          <w:rFonts w:ascii="Arial" w:eastAsia="Times New Roman" w:hAnsi="Arial" w:cs="Arial"/>
          <w:b/>
          <w:bCs/>
          <w:sz w:val="20"/>
          <w:szCs w:val="20"/>
          <w:lang w:val="en-GB"/>
        </w:rPr>
        <w:t>3.06</w:t>
      </w:r>
    </w:p>
    <w:p w14:paraId="44CFDE5A" w14:textId="77777777" w:rsidR="00EA6E35" w:rsidRPr="00162A1D" w:rsidRDefault="00EA6E35" w:rsidP="00EA6E35">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Highest: </w:t>
      </w:r>
      <w:r w:rsidRPr="00162A1D">
        <w:rPr>
          <w:rFonts w:ascii="Arial" w:eastAsia="Times New Roman" w:hAnsi="Arial" w:cs="Arial"/>
          <w:b/>
          <w:bCs/>
          <w:sz w:val="20"/>
          <w:szCs w:val="20"/>
          <w:lang w:val="en-GB"/>
        </w:rPr>
        <w:t>4.20 for Municipalities</w:t>
      </w:r>
    </w:p>
    <w:p w14:paraId="7591FCAF" w14:textId="77777777" w:rsidR="00EA6E35" w:rsidRPr="00162A1D" w:rsidRDefault="00EA6E35" w:rsidP="00EA6E35">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Lowest: </w:t>
      </w:r>
      <w:r w:rsidRPr="00162A1D">
        <w:rPr>
          <w:rFonts w:ascii="Arial" w:eastAsia="Times New Roman" w:hAnsi="Arial" w:cs="Arial"/>
          <w:b/>
          <w:bCs/>
          <w:sz w:val="20"/>
          <w:szCs w:val="20"/>
          <w:lang w:val="en-GB"/>
        </w:rPr>
        <w:t>2.4 for MoPH and Primary/Secondary Health Care Centers</w:t>
      </w:r>
    </w:p>
    <w:p w14:paraId="641B4597" w14:textId="77777777" w:rsidR="00EA6E35" w:rsidRPr="00E348D7" w:rsidRDefault="00EA6E35" w:rsidP="00EA6E35">
      <w:pPr>
        <w:rPr>
          <w:rFonts w:ascii="Arial" w:hAnsi="Arial" w:cs="Arial"/>
          <w:b/>
          <w:sz w:val="20"/>
          <w:szCs w:val="20"/>
          <w:shd w:val="clear" w:color="auto" w:fill="FFFFFF"/>
          <w:lang w:val="en-GB"/>
        </w:rPr>
      </w:pPr>
      <w:r w:rsidRPr="00E348D7">
        <w:rPr>
          <w:rFonts w:ascii="Arial" w:hAnsi="Arial" w:cs="Arial"/>
          <w:b/>
          <w:sz w:val="20"/>
          <w:szCs w:val="20"/>
          <w:shd w:val="clear" w:color="auto" w:fill="FFFFFF"/>
          <w:lang w:val="en-GB"/>
        </w:rPr>
        <w:t xml:space="preserve">Conflict Sensitivity mechanisms  </w:t>
      </w:r>
    </w:p>
    <w:p w14:paraId="0549AF11"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11/33 have internal mechanism(s) in house to make sure their programs are conflict sensitive</w:t>
      </w:r>
    </w:p>
    <w:p w14:paraId="4E56E206" w14:textId="77777777" w:rsidR="00EA6E35" w:rsidRPr="00E348D7" w:rsidRDefault="00EA6E35" w:rsidP="00EA6E35">
      <w:pPr>
        <w:rPr>
          <w:rFonts w:ascii="Arial" w:hAnsi="Arial" w:cs="Arial"/>
          <w:b/>
          <w:sz w:val="20"/>
          <w:szCs w:val="20"/>
          <w:shd w:val="clear" w:color="auto" w:fill="FFFFFF"/>
          <w:lang w:val="en-GB"/>
        </w:rPr>
      </w:pPr>
      <w:r w:rsidRPr="00E348D7">
        <w:rPr>
          <w:rFonts w:ascii="Arial" w:hAnsi="Arial" w:cs="Arial"/>
          <w:b/>
          <w:sz w:val="20"/>
          <w:szCs w:val="20"/>
          <w:shd w:val="clear" w:color="auto" w:fill="FFFFFF"/>
          <w:lang w:val="en-GB"/>
        </w:rPr>
        <w:t xml:space="preserve">Training and guidance needs and suggestions </w:t>
      </w:r>
    </w:p>
    <w:p w14:paraId="7629E5DB" w14:textId="0928F2D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lastRenderedPageBreak/>
        <w:t>Training needs: How useful would the following trainings be to increase your organizations’ contribution to social stability? (1- not useful, 5 very useful)</w:t>
      </w:r>
      <w:r w:rsidR="00E348D7" w:rsidRPr="00E348D7">
        <w:rPr>
          <w:rFonts w:ascii="Arial" w:hAnsi="Arial" w:cs="Arial"/>
          <w:noProof/>
          <w:sz w:val="20"/>
          <w:szCs w:val="20"/>
          <w:lang w:val="fr-FR" w:eastAsia="fr-FR"/>
        </w:rPr>
        <w:t xml:space="preserve"> </w:t>
      </w:r>
      <w:r w:rsidR="00E348D7" w:rsidRPr="00162A1D">
        <w:rPr>
          <w:rFonts w:ascii="Arial" w:hAnsi="Arial" w:cs="Arial"/>
          <w:noProof/>
          <w:sz w:val="20"/>
          <w:szCs w:val="20"/>
        </w:rPr>
        <w:drawing>
          <wp:inline distT="0" distB="0" distL="0" distR="0" wp14:anchorId="01DEC288" wp14:editId="59D98750">
            <wp:extent cx="4572000" cy="1828800"/>
            <wp:effectExtent l="0" t="0" r="25400" b="25400"/>
            <wp:docPr id="6"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063EF0E" w14:textId="233F26E0" w:rsidR="00EA6E35" w:rsidRPr="00162A1D" w:rsidRDefault="00EA6E35" w:rsidP="00EA6E35">
      <w:pPr>
        <w:rPr>
          <w:rFonts w:ascii="Arial" w:hAnsi="Arial" w:cs="Arial"/>
          <w:sz w:val="20"/>
          <w:szCs w:val="20"/>
          <w:shd w:val="clear" w:color="auto" w:fill="FFFFFF"/>
          <w:lang w:val="en-GB"/>
        </w:rPr>
      </w:pPr>
    </w:p>
    <w:p w14:paraId="54D6C686"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What other type of support from the social stability sector would be useful to increase your organization’s contribution to social stability? (1- not useful, 5- very useful)</w:t>
      </w:r>
    </w:p>
    <w:p w14:paraId="4E8AE5BC" w14:textId="77777777" w:rsidR="00EA6E35" w:rsidRPr="00162A1D" w:rsidRDefault="00EA6E35" w:rsidP="00EA6E35">
      <w:pPr>
        <w:rPr>
          <w:rFonts w:ascii="Arial" w:hAnsi="Arial" w:cs="Arial"/>
          <w:sz w:val="20"/>
          <w:szCs w:val="20"/>
          <w:lang w:val="en-GB"/>
        </w:rPr>
      </w:pPr>
      <w:r w:rsidRPr="00162A1D">
        <w:rPr>
          <w:rFonts w:ascii="Arial" w:hAnsi="Arial" w:cs="Arial"/>
          <w:noProof/>
          <w:sz w:val="20"/>
          <w:szCs w:val="20"/>
        </w:rPr>
        <w:drawing>
          <wp:inline distT="0" distB="0" distL="0" distR="0" wp14:anchorId="7DED7558" wp14:editId="19BBBA9D">
            <wp:extent cx="4572000" cy="2743200"/>
            <wp:effectExtent l="0" t="0" r="25400" b="2540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19C3C15" w14:textId="1E5BF4E7" w:rsidR="00EA6E35" w:rsidRPr="00162A1D" w:rsidRDefault="00EA6E35" w:rsidP="00EA6E35">
      <w:pPr>
        <w:rPr>
          <w:rFonts w:ascii="Arial" w:hAnsi="Arial" w:cs="Arial"/>
          <w:i/>
          <w:iCs/>
          <w:sz w:val="20"/>
          <w:szCs w:val="20"/>
          <w:lang w:val="en-GB"/>
        </w:rPr>
      </w:pPr>
      <w:r w:rsidRPr="00162A1D">
        <w:rPr>
          <w:rFonts w:ascii="Arial" w:hAnsi="Arial" w:cs="Arial"/>
          <w:i/>
          <w:iCs/>
          <w:sz w:val="20"/>
          <w:szCs w:val="20"/>
          <w:lang w:val="en-GB"/>
        </w:rPr>
        <w:t xml:space="preserve">Agencies from the WASH sector reported that their priority to facilitate contribution to social stability is in establishing best practices/ lessons learnt /dos&amp;don’ts on social stability </w:t>
      </w:r>
    </w:p>
    <w:p w14:paraId="48CEF864" w14:textId="77777777" w:rsidR="00EA6E35" w:rsidRPr="00162A1D" w:rsidRDefault="00EA6E35">
      <w:pPr>
        <w:rPr>
          <w:rFonts w:ascii="Arial" w:hAnsi="Arial" w:cs="Arial"/>
          <w:i/>
          <w:iCs/>
          <w:sz w:val="20"/>
          <w:szCs w:val="20"/>
          <w:lang w:val="en-GB"/>
        </w:rPr>
      </w:pPr>
      <w:r w:rsidRPr="00162A1D">
        <w:rPr>
          <w:rFonts w:ascii="Arial" w:hAnsi="Arial" w:cs="Arial"/>
          <w:i/>
          <w:iCs/>
          <w:sz w:val="20"/>
          <w:szCs w:val="20"/>
          <w:lang w:val="en-GB"/>
        </w:rPr>
        <w:br w:type="page"/>
      </w:r>
    </w:p>
    <w:p w14:paraId="397FFD49" w14:textId="080F0650" w:rsidR="00EA6E35" w:rsidRPr="00162A1D" w:rsidRDefault="00EA6E35" w:rsidP="00EA6E35">
      <w:pPr>
        <w:jc w:val="center"/>
        <w:rPr>
          <w:rFonts w:ascii="Arial" w:hAnsi="Arial" w:cs="Arial"/>
          <w:b/>
          <w:sz w:val="20"/>
          <w:szCs w:val="20"/>
          <w:shd w:val="clear" w:color="auto" w:fill="FFFFFF"/>
          <w:lang w:val="en-GB"/>
        </w:rPr>
      </w:pPr>
      <w:r w:rsidRPr="00162A1D">
        <w:rPr>
          <w:rFonts w:ascii="Arial" w:hAnsi="Arial" w:cs="Arial"/>
          <w:b/>
          <w:sz w:val="20"/>
          <w:szCs w:val="20"/>
          <w:shd w:val="clear" w:color="auto" w:fill="FFFFFF"/>
          <w:lang w:val="en-GB"/>
        </w:rPr>
        <w:lastRenderedPageBreak/>
        <w:t>Livelihoods: 40 respondents</w:t>
      </w:r>
    </w:p>
    <w:p w14:paraId="7E24B3F4"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Strongest sectoral overlaps: Protection (21) and Social Stability (29)</w:t>
      </w:r>
    </w:p>
    <w:p w14:paraId="6118A10F"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23 of these have appealed under Social Stability in the LCRP and a further 10 are implementing projects which indirectly contribute to social stability</w:t>
      </w:r>
    </w:p>
    <w:p w14:paraId="08E79B63"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Knowledge of conflict issues</w:t>
      </w:r>
    </w:p>
    <w:p w14:paraId="3840DDC3"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On a scale from 1 to 5, how do you rate your knowledge on the following aspects of conflict/social stability analysis (from 1- no specific knowledge to 5- advanced knowledge):  </w:t>
      </w:r>
    </w:p>
    <w:p w14:paraId="2B884F8B"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03722A2B" wp14:editId="72C4A36B">
            <wp:extent cx="4572000" cy="2413000"/>
            <wp:effectExtent l="0" t="0" r="25400" b="25400"/>
            <wp:docPr id="9"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76048D6" w14:textId="68DAB271" w:rsidR="00EA6E35" w:rsidRPr="00162A1D" w:rsidRDefault="00EA6E35" w:rsidP="00113FB5">
      <w:pPr>
        <w:rPr>
          <w:rFonts w:ascii="Arial" w:hAnsi="Arial" w:cs="Arial"/>
          <w:i/>
          <w:iCs/>
          <w:sz w:val="20"/>
          <w:szCs w:val="20"/>
          <w:shd w:val="clear" w:color="auto" w:fill="FFFFFF"/>
          <w:lang w:val="en-GB"/>
        </w:rPr>
      </w:pPr>
      <w:r w:rsidRPr="00162A1D">
        <w:rPr>
          <w:rFonts w:ascii="Arial" w:hAnsi="Arial" w:cs="Arial"/>
          <w:i/>
          <w:iCs/>
          <w:sz w:val="20"/>
          <w:szCs w:val="20"/>
          <w:shd w:val="clear" w:color="auto" w:fill="FFFFFF"/>
          <w:lang w:val="en-GB"/>
        </w:rPr>
        <w:t>Weakest areas of knowledge are in the gener</w:t>
      </w:r>
      <w:r w:rsidR="00113FB5">
        <w:rPr>
          <w:rFonts w:ascii="Arial" w:hAnsi="Arial" w:cs="Arial"/>
          <w:i/>
          <w:iCs/>
          <w:sz w:val="20"/>
          <w:szCs w:val="20"/>
          <w:shd w:val="clear" w:color="auto" w:fill="FFFFFF"/>
          <w:lang w:val="en-GB"/>
        </w:rPr>
        <w:t>a</w:t>
      </w:r>
      <w:bookmarkStart w:id="0" w:name="_GoBack"/>
      <w:bookmarkEnd w:id="0"/>
      <w:r w:rsidRPr="00162A1D">
        <w:rPr>
          <w:rFonts w:ascii="Arial" w:hAnsi="Arial" w:cs="Arial"/>
          <w:i/>
          <w:iCs/>
          <w:sz w:val="20"/>
          <w:szCs w:val="20"/>
          <w:shd w:val="clear" w:color="auto" w:fill="FFFFFF"/>
          <w:lang w:val="en-GB"/>
        </w:rPr>
        <w:t xml:space="preserve">l perceptions of international assistance by communities.  </w:t>
      </w:r>
    </w:p>
    <w:p w14:paraId="33D6FC34"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Contribution to social stability </w:t>
      </w:r>
    </w:p>
    <w:p w14:paraId="59963526" w14:textId="77777777" w:rsidR="00EA6E35" w:rsidRPr="00162A1D" w:rsidRDefault="00EA6E35" w:rsidP="00EA6E35">
      <w:p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26/40 consider that their organisation’s programs in Lebanon contribute to social stability</w:t>
      </w:r>
    </w:p>
    <w:p w14:paraId="7281DFF9" w14:textId="77777777" w:rsidR="00EA6E35" w:rsidRPr="00162A1D" w:rsidRDefault="00EA6E35" w:rsidP="00EA6E35">
      <w:pPr>
        <w:jc w:val="both"/>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1E6CA1A2" wp14:editId="347B13EF">
            <wp:extent cx="4572000" cy="1943100"/>
            <wp:effectExtent l="0" t="0" r="25400" b="12700"/>
            <wp:docPr id="10"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B7A463E" w14:textId="77777777" w:rsidR="00EA6E35" w:rsidRPr="00162A1D" w:rsidRDefault="00EA6E35" w:rsidP="00EA6E35">
      <w:pPr>
        <w:jc w:val="both"/>
        <w:rPr>
          <w:rFonts w:ascii="Arial" w:hAnsi="Arial" w:cs="Arial"/>
          <w:i/>
          <w:iCs/>
          <w:sz w:val="20"/>
          <w:szCs w:val="20"/>
          <w:shd w:val="clear" w:color="auto" w:fill="FFFFFF"/>
          <w:lang w:val="en-GB"/>
        </w:rPr>
      </w:pPr>
      <w:r w:rsidRPr="00162A1D">
        <w:rPr>
          <w:rFonts w:ascii="Arial" w:hAnsi="Arial" w:cs="Arial"/>
          <w:i/>
          <w:iCs/>
          <w:sz w:val="20"/>
          <w:szCs w:val="20"/>
          <w:shd w:val="clear" w:color="auto" w:fill="FFFFFF"/>
          <w:lang w:val="en-GB"/>
        </w:rPr>
        <w:t>Most Livelihoods agencies consider their programs contribute to Social Stability through targeting both host and refugee communities, strengthening the role of public institutions, and bringing together different community members. It is not surprising considering the nature of Livelihoods projects, typically bringing members of different communities together through their activities, often in links with municipalities and SDCs.</w:t>
      </w:r>
    </w:p>
    <w:p w14:paraId="1CE5C338" w14:textId="77777777" w:rsidR="00EA6E35" w:rsidRPr="00E348D7" w:rsidRDefault="00EA6E35" w:rsidP="00EA6E35">
      <w:pPr>
        <w:rPr>
          <w:rFonts w:ascii="Arial" w:hAnsi="Arial" w:cs="Arial"/>
          <w:b/>
          <w:sz w:val="20"/>
          <w:szCs w:val="20"/>
          <w:shd w:val="clear" w:color="auto" w:fill="FFFFFF"/>
          <w:lang w:val="en-GB"/>
        </w:rPr>
      </w:pPr>
      <w:r w:rsidRPr="00E348D7">
        <w:rPr>
          <w:rFonts w:ascii="Arial" w:hAnsi="Arial" w:cs="Arial"/>
          <w:b/>
          <w:sz w:val="20"/>
          <w:szCs w:val="20"/>
          <w:shd w:val="clear" w:color="auto" w:fill="FFFFFF"/>
          <w:lang w:val="en-GB"/>
        </w:rPr>
        <w:lastRenderedPageBreak/>
        <w:t xml:space="preserve">Work with Public Institutions </w:t>
      </w:r>
    </w:p>
    <w:p w14:paraId="62DEB179" w14:textId="3F81D28D" w:rsidR="00EA6E35" w:rsidRPr="00E348D7" w:rsidRDefault="00EA6E35" w:rsidP="00EA6E35">
      <w:pPr>
        <w:rPr>
          <w:rFonts w:ascii="Arial" w:eastAsia="Times New Roman" w:hAnsi="Arial" w:cs="Arial"/>
          <w:bCs/>
          <w:sz w:val="20"/>
          <w:szCs w:val="20"/>
          <w:lang w:val="en-GB"/>
        </w:rPr>
      </w:pPr>
      <w:r w:rsidRPr="00E348D7">
        <w:rPr>
          <w:rFonts w:ascii="Arial" w:hAnsi="Arial" w:cs="Arial"/>
          <w:sz w:val="20"/>
          <w:szCs w:val="20"/>
          <w:shd w:val="clear" w:color="auto" w:fill="FFFFFF"/>
          <w:lang w:val="en-GB"/>
        </w:rPr>
        <w:t xml:space="preserve">Average: </w:t>
      </w:r>
      <w:r w:rsidRPr="00E348D7">
        <w:rPr>
          <w:rFonts w:ascii="Arial" w:eastAsia="Times New Roman" w:hAnsi="Arial" w:cs="Arial"/>
          <w:bCs/>
          <w:sz w:val="20"/>
          <w:szCs w:val="20"/>
          <w:lang w:val="en-GB"/>
        </w:rPr>
        <w:t>2,91</w:t>
      </w:r>
      <w:r w:rsidR="00E348D7" w:rsidRPr="00E348D7">
        <w:rPr>
          <w:rFonts w:ascii="Arial" w:eastAsia="Times New Roman" w:hAnsi="Arial" w:cs="Arial"/>
          <w:bCs/>
          <w:sz w:val="20"/>
          <w:szCs w:val="20"/>
          <w:lang w:val="en-GB"/>
        </w:rPr>
        <w:t xml:space="preserve"> </w:t>
      </w:r>
      <w:r w:rsidRPr="00E348D7">
        <w:rPr>
          <w:rFonts w:ascii="Arial" w:hAnsi="Arial" w:cs="Arial"/>
          <w:sz w:val="20"/>
          <w:szCs w:val="20"/>
          <w:shd w:val="clear" w:color="auto" w:fill="FFFFFF"/>
          <w:lang w:val="en-GB"/>
        </w:rPr>
        <w:t xml:space="preserve">Highest: </w:t>
      </w:r>
      <w:r w:rsidRPr="00E348D7">
        <w:rPr>
          <w:rFonts w:ascii="Arial" w:eastAsia="Times New Roman" w:hAnsi="Arial" w:cs="Arial"/>
          <w:bCs/>
          <w:sz w:val="20"/>
          <w:szCs w:val="20"/>
          <w:lang w:val="en-GB"/>
        </w:rPr>
        <w:t>4.13 for Municipalities, 3.63 for UoM, 3.35 for MOSA</w:t>
      </w:r>
    </w:p>
    <w:p w14:paraId="2CB50C6A" w14:textId="2525429C" w:rsidR="00EA6E35" w:rsidRPr="00E348D7" w:rsidRDefault="00EA6E35" w:rsidP="00EA6E35">
      <w:pPr>
        <w:rPr>
          <w:rFonts w:ascii="Arial" w:eastAsia="Times New Roman" w:hAnsi="Arial" w:cs="Arial"/>
          <w:bCs/>
          <w:sz w:val="20"/>
          <w:szCs w:val="20"/>
          <w:lang w:val="en-GB"/>
        </w:rPr>
      </w:pPr>
      <w:r w:rsidRPr="00E348D7">
        <w:rPr>
          <w:rFonts w:ascii="Arial" w:hAnsi="Arial" w:cs="Arial"/>
          <w:sz w:val="20"/>
          <w:szCs w:val="20"/>
          <w:shd w:val="clear" w:color="auto" w:fill="FFFFFF"/>
          <w:lang w:val="en-GB"/>
        </w:rPr>
        <w:t xml:space="preserve">Lowest: </w:t>
      </w:r>
      <w:r w:rsidRPr="00E348D7">
        <w:rPr>
          <w:rFonts w:ascii="Arial" w:eastAsia="Times New Roman" w:hAnsi="Arial" w:cs="Arial"/>
          <w:bCs/>
          <w:sz w:val="20"/>
          <w:szCs w:val="20"/>
          <w:lang w:val="en-GB"/>
        </w:rPr>
        <w:t>2.26 for MoPH and 2.4 Primary/Secondary Health Care Centers</w:t>
      </w:r>
    </w:p>
    <w:p w14:paraId="38A9FF79" w14:textId="77777777" w:rsidR="00EA6E35" w:rsidRPr="00E348D7" w:rsidRDefault="00EA6E35" w:rsidP="00EA6E35">
      <w:pPr>
        <w:rPr>
          <w:rFonts w:ascii="Arial" w:hAnsi="Arial" w:cs="Arial"/>
          <w:b/>
          <w:sz w:val="20"/>
          <w:szCs w:val="20"/>
          <w:shd w:val="clear" w:color="auto" w:fill="FFFFFF"/>
          <w:lang w:val="en-GB"/>
        </w:rPr>
      </w:pPr>
      <w:r w:rsidRPr="00E348D7">
        <w:rPr>
          <w:rFonts w:ascii="Arial" w:hAnsi="Arial" w:cs="Arial"/>
          <w:b/>
          <w:sz w:val="20"/>
          <w:szCs w:val="20"/>
          <w:shd w:val="clear" w:color="auto" w:fill="FFFFFF"/>
          <w:lang w:val="en-GB"/>
        </w:rPr>
        <w:t xml:space="preserve">Conflict Sensitivity mechanisms  </w:t>
      </w:r>
    </w:p>
    <w:p w14:paraId="6CBA8AF0"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16/40 have internal mechanism(s) in house to make sure their programs are conflict sensitive</w:t>
      </w:r>
    </w:p>
    <w:p w14:paraId="4B710C0D" w14:textId="77777777" w:rsidR="00EA6E35" w:rsidRPr="00E348D7" w:rsidRDefault="00EA6E35" w:rsidP="00EA6E35">
      <w:pPr>
        <w:rPr>
          <w:rFonts w:ascii="Arial" w:hAnsi="Arial" w:cs="Arial"/>
          <w:b/>
          <w:sz w:val="20"/>
          <w:szCs w:val="20"/>
          <w:shd w:val="clear" w:color="auto" w:fill="FFFFFF"/>
          <w:lang w:val="en-GB"/>
        </w:rPr>
      </w:pPr>
      <w:r w:rsidRPr="00E348D7">
        <w:rPr>
          <w:rFonts w:ascii="Arial" w:hAnsi="Arial" w:cs="Arial"/>
          <w:b/>
          <w:sz w:val="20"/>
          <w:szCs w:val="20"/>
          <w:shd w:val="clear" w:color="auto" w:fill="FFFFFF"/>
          <w:lang w:val="en-GB"/>
        </w:rPr>
        <w:t xml:space="preserve">Training and guidance needs and suggestions </w:t>
      </w:r>
    </w:p>
    <w:p w14:paraId="4AE83A18"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Training needs: How useful would the following trainings be to increase your organizations’ contribution to social stability? (1- not useful, 5 very useful)</w:t>
      </w:r>
    </w:p>
    <w:p w14:paraId="4A098FB9"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2B75100C" wp14:editId="63D5262E">
            <wp:extent cx="5715000" cy="2095500"/>
            <wp:effectExtent l="0" t="0" r="25400" b="12700"/>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BDB8059" w14:textId="77777777" w:rsidR="00EA6E35" w:rsidRPr="00162A1D" w:rsidRDefault="00EA6E35" w:rsidP="00EA6E35">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What other type of support from the social stability sector would be useful to increase your organization’s contribution to social stability? (1- not useful, 5- very useful)</w:t>
      </w:r>
    </w:p>
    <w:p w14:paraId="5ED7D5DC" w14:textId="77777777" w:rsidR="00EA6E35" w:rsidRPr="00162A1D" w:rsidRDefault="00EA6E35" w:rsidP="00EA6E35">
      <w:pPr>
        <w:rPr>
          <w:rFonts w:ascii="Arial" w:hAnsi="Arial" w:cs="Arial"/>
          <w:sz w:val="20"/>
          <w:szCs w:val="20"/>
          <w:lang w:val="en-GB"/>
        </w:rPr>
      </w:pPr>
      <w:r w:rsidRPr="00162A1D">
        <w:rPr>
          <w:rFonts w:ascii="Arial" w:hAnsi="Arial" w:cs="Arial"/>
          <w:noProof/>
          <w:sz w:val="20"/>
          <w:szCs w:val="20"/>
        </w:rPr>
        <w:drawing>
          <wp:inline distT="0" distB="0" distL="0" distR="0" wp14:anchorId="18488E41" wp14:editId="2D3D5652">
            <wp:extent cx="6286500" cy="2286000"/>
            <wp:effectExtent l="0" t="0" r="12700" b="25400"/>
            <wp:docPr id="12"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93438C2" w14:textId="285117F9" w:rsidR="00EA6E35" w:rsidRPr="00162A1D" w:rsidRDefault="00EA6E35" w:rsidP="00EA6E35">
      <w:pPr>
        <w:rPr>
          <w:rFonts w:ascii="Arial" w:hAnsi="Arial" w:cs="Arial"/>
          <w:i/>
          <w:iCs/>
          <w:sz w:val="20"/>
          <w:szCs w:val="20"/>
          <w:lang w:val="en-GB"/>
        </w:rPr>
      </w:pPr>
      <w:r w:rsidRPr="00162A1D">
        <w:rPr>
          <w:rFonts w:ascii="Arial" w:hAnsi="Arial" w:cs="Arial"/>
          <w:i/>
          <w:iCs/>
          <w:sz w:val="20"/>
          <w:szCs w:val="20"/>
          <w:lang w:val="en-GB"/>
        </w:rPr>
        <w:t xml:space="preserve">Agencies from the Livelihoods sector reported that their priority to facilitate contribution to social stability is in establishing best practices/ lessons learnt /dos&amp;don’ts on social stability </w:t>
      </w:r>
    </w:p>
    <w:p w14:paraId="4A1164DA" w14:textId="77777777" w:rsidR="00EA6E35" w:rsidRPr="00162A1D" w:rsidRDefault="00EA6E35">
      <w:pPr>
        <w:rPr>
          <w:rFonts w:ascii="Arial" w:hAnsi="Arial" w:cs="Arial"/>
          <w:i/>
          <w:iCs/>
          <w:sz w:val="20"/>
          <w:szCs w:val="20"/>
          <w:lang w:val="en-GB"/>
        </w:rPr>
      </w:pPr>
      <w:r w:rsidRPr="00162A1D">
        <w:rPr>
          <w:rFonts w:ascii="Arial" w:hAnsi="Arial" w:cs="Arial"/>
          <w:i/>
          <w:iCs/>
          <w:sz w:val="20"/>
          <w:szCs w:val="20"/>
          <w:lang w:val="en-GB"/>
        </w:rPr>
        <w:br w:type="page"/>
      </w:r>
    </w:p>
    <w:p w14:paraId="1856DE48" w14:textId="77777777" w:rsidR="00EA6E35" w:rsidRPr="00162A1D" w:rsidRDefault="00EA6E35" w:rsidP="00EA6E35">
      <w:pPr>
        <w:tabs>
          <w:tab w:val="center" w:pos="4150"/>
          <w:tab w:val="left" w:pos="6660"/>
        </w:tabs>
        <w:rPr>
          <w:rFonts w:ascii="Arial" w:hAnsi="Arial" w:cs="Arial"/>
          <w:b/>
          <w:sz w:val="20"/>
          <w:szCs w:val="20"/>
        </w:rPr>
      </w:pPr>
      <w:r w:rsidRPr="00162A1D">
        <w:rPr>
          <w:rFonts w:ascii="Arial" w:hAnsi="Arial" w:cs="Arial"/>
          <w:b/>
          <w:sz w:val="20"/>
          <w:szCs w:val="20"/>
        </w:rPr>
        <w:lastRenderedPageBreak/>
        <w:tab/>
        <w:t>Food Security</w:t>
      </w:r>
    </w:p>
    <w:p w14:paraId="52388E49" w14:textId="502DC2D6" w:rsidR="00EA6E35" w:rsidRPr="00E348D7" w:rsidRDefault="00EA6E35" w:rsidP="00E348D7">
      <w:pPr>
        <w:tabs>
          <w:tab w:val="center" w:pos="4150"/>
          <w:tab w:val="left" w:pos="6660"/>
        </w:tabs>
        <w:rPr>
          <w:rFonts w:ascii="Arial" w:hAnsi="Arial" w:cs="Arial"/>
          <w:b/>
          <w:sz w:val="20"/>
          <w:szCs w:val="20"/>
        </w:rPr>
      </w:pPr>
      <w:r w:rsidRPr="00E348D7">
        <w:rPr>
          <w:rFonts w:ascii="Arial" w:hAnsi="Arial" w:cs="Arial"/>
          <w:sz w:val="20"/>
          <w:szCs w:val="20"/>
        </w:rPr>
        <w:t xml:space="preserve">18 organizations (7 local NGOs and 11 INGOs) </w:t>
      </w:r>
    </w:p>
    <w:p w14:paraId="31FF14F0" w14:textId="7E03141F" w:rsidR="00EA6E35" w:rsidRPr="00E348D7" w:rsidRDefault="00EA6E35" w:rsidP="00E348D7">
      <w:pPr>
        <w:tabs>
          <w:tab w:val="center" w:pos="4150"/>
          <w:tab w:val="left" w:pos="6660"/>
        </w:tabs>
        <w:spacing w:after="0" w:line="240" w:lineRule="auto"/>
        <w:rPr>
          <w:rFonts w:ascii="Arial" w:hAnsi="Arial" w:cs="Arial"/>
          <w:sz w:val="20"/>
          <w:szCs w:val="20"/>
        </w:rPr>
      </w:pPr>
      <w:r w:rsidRPr="00E348D7">
        <w:rPr>
          <w:rFonts w:ascii="Arial" w:hAnsi="Arial" w:cs="Arial"/>
          <w:sz w:val="20"/>
          <w:szCs w:val="20"/>
        </w:rPr>
        <w:t xml:space="preserve">Half of the organizations are engaged in social stability programming </w:t>
      </w:r>
    </w:p>
    <w:p w14:paraId="3850B0EF" w14:textId="7EC2F3E7" w:rsidR="00EA6E35" w:rsidRPr="00162A1D" w:rsidRDefault="00E348D7" w:rsidP="00EA6E35">
      <w:pPr>
        <w:tabs>
          <w:tab w:val="center" w:pos="4150"/>
          <w:tab w:val="left" w:pos="6660"/>
        </w:tabs>
        <w:rPr>
          <w:rFonts w:ascii="Arial" w:hAnsi="Arial" w:cs="Arial"/>
          <w:b/>
          <w:sz w:val="20"/>
          <w:szCs w:val="20"/>
        </w:rPr>
      </w:pPr>
      <w:r>
        <w:rPr>
          <w:rFonts w:ascii="Arial" w:hAnsi="Arial" w:cs="Arial"/>
          <w:b/>
          <w:sz w:val="20"/>
          <w:szCs w:val="20"/>
        </w:rPr>
        <w:t>Knowledge of conflict issue:</w:t>
      </w:r>
    </w:p>
    <w:p w14:paraId="0AA08F5A" w14:textId="77777777" w:rsidR="00EA6E35" w:rsidRPr="00162A1D" w:rsidRDefault="00EA6E35" w:rsidP="00EA6E35">
      <w:pPr>
        <w:tabs>
          <w:tab w:val="center" w:pos="4150"/>
          <w:tab w:val="left" w:pos="6660"/>
        </w:tabs>
        <w:rPr>
          <w:rFonts w:ascii="Arial" w:hAnsi="Arial" w:cs="Arial"/>
          <w:b/>
          <w:sz w:val="20"/>
          <w:szCs w:val="20"/>
        </w:rPr>
      </w:pPr>
      <w:r w:rsidRPr="00162A1D">
        <w:rPr>
          <w:rFonts w:ascii="Arial" w:hAnsi="Arial" w:cs="Arial"/>
          <w:noProof/>
          <w:sz w:val="20"/>
          <w:szCs w:val="20"/>
        </w:rPr>
        <w:drawing>
          <wp:inline distT="0" distB="0" distL="0" distR="0" wp14:anchorId="7632CC6B" wp14:editId="15D90947">
            <wp:extent cx="4686300" cy="3132667"/>
            <wp:effectExtent l="0" t="0" r="12700" b="17145"/>
            <wp:docPr id="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43FC24F" w14:textId="77777777" w:rsidR="00EA6E35" w:rsidRPr="00162A1D" w:rsidRDefault="00EA6E35" w:rsidP="00EA6E35">
      <w:pPr>
        <w:tabs>
          <w:tab w:val="center" w:pos="4150"/>
          <w:tab w:val="left" w:pos="6660"/>
        </w:tabs>
        <w:rPr>
          <w:rFonts w:ascii="Arial" w:hAnsi="Arial" w:cs="Arial"/>
          <w:sz w:val="20"/>
          <w:szCs w:val="20"/>
        </w:rPr>
      </w:pPr>
      <w:r w:rsidRPr="00162A1D">
        <w:rPr>
          <w:rFonts w:ascii="Arial" w:hAnsi="Arial" w:cs="Arial"/>
          <w:sz w:val="20"/>
          <w:szCs w:val="20"/>
        </w:rPr>
        <w:t xml:space="preserve">Do you consider that your organization’s programs in Lebanon contribute to social stability?  10 said yes </w:t>
      </w:r>
    </w:p>
    <w:p w14:paraId="351421F0" w14:textId="5C470924" w:rsidR="00EA6E35" w:rsidRPr="00162A1D" w:rsidRDefault="00EA6E35" w:rsidP="00EA6E35">
      <w:pPr>
        <w:tabs>
          <w:tab w:val="center" w:pos="4150"/>
          <w:tab w:val="left" w:pos="6660"/>
        </w:tabs>
        <w:rPr>
          <w:rFonts w:ascii="Arial" w:hAnsi="Arial" w:cs="Arial"/>
          <w:b/>
          <w:sz w:val="20"/>
          <w:szCs w:val="20"/>
        </w:rPr>
      </w:pPr>
      <w:r w:rsidRPr="00162A1D">
        <w:rPr>
          <w:rFonts w:ascii="Arial" w:hAnsi="Arial" w:cs="Arial"/>
          <w:noProof/>
          <w:sz w:val="20"/>
          <w:szCs w:val="20"/>
        </w:rPr>
        <w:drawing>
          <wp:inline distT="0" distB="0" distL="0" distR="0" wp14:anchorId="0EFC440F" wp14:editId="7ECBBFA6">
            <wp:extent cx="4457700" cy="2286000"/>
            <wp:effectExtent l="0" t="0" r="12700" b="25400"/>
            <wp:docPr id="1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066C4E2" w14:textId="77777777" w:rsidR="00EA6E35" w:rsidRPr="00162A1D" w:rsidRDefault="00EA6E35" w:rsidP="00EA6E35">
      <w:pPr>
        <w:rPr>
          <w:rFonts w:ascii="Arial" w:hAnsi="Arial" w:cs="Arial"/>
          <w:sz w:val="20"/>
          <w:szCs w:val="20"/>
        </w:rPr>
      </w:pPr>
    </w:p>
    <w:p w14:paraId="619C03FE" w14:textId="77777777" w:rsidR="00EA6E35" w:rsidRPr="00162A1D" w:rsidRDefault="00EA6E35" w:rsidP="00EA6E35">
      <w:pPr>
        <w:tabs>
          <w:tab w:val="left" w:pos="3200"/>
        </w:tabs>
        <w:rPr>
          <w:rFonts w:ascii="Arial" w:hAnsi="Arial" w:cs="Arial"/>
          <w:sz w:val="20"/>
          <w:szCs w:val="20"/>
        </w:rPr>
      </w:pPr>
      <w:r w:rsidRPr="00162A1D">
        <w:rPr>
          <w:rFonts w:ascii="Arial" w:hAnsi="Arial" w:cs="Arial"/>
          <w:noProof/>
          <w:sz w:val="20"/>
          <w:szCs w:val="20"/>
        </w:rPr>
        <w:lastRenderedPageBreak/>
        <w:drawing>
          <wp:inline distT="0" distB="0" distL="0" distR="0" wp14:anchorId="137291BF" wp14:editId="46B70F60">
            <wp:extent cx="5270500" cy="2286000"/>
            <wp:effectExtent l="0" t="0" r="12700" b="25400"/>
            <wp:docPr id="1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A8B8101" w14:textId="77777777" w:rsidR="00EA6E35" w:rsidRPr="00162A1D" w:rsidRDefault="00EA6E35" w:rsidP="00E348D7">
      <w:pPr>
        <w:spacing w:line="240" w:lineRule="auto"/>
        <w:rPr>
          <w:rFonts w:ascii="Arial" w:hAnsi="Arial" w:cs="Arial"/>
          <w:sz w:val="20"/>
          <w:szCs w:val="20"/>
        </w:rPr>
      </w:pPr>
      <w:r w:rsidRPr="00162A1D">
        <w:rPr>
          <w:rFonts w:ascii="Arial" w:hAnsi="Arial" w:cs="Arial"/>
          <w:sz w:val="20"/>
          <w:szCs w:val="20"/>
        </w:rPr>
        <w:t xml:space="preserve">Challenges working with public institutions: </w:t>
      </w:r>
    </w:p>
    <w:p w14:paraId="74E0B064" w14:textId="77777777" w:rsidR="00EA6E35" w:rsidRPr="00162A1D" w:rsidRDefault="00EA6E35" w:rsidP="00E348D7">
      <w:pPr>
        <w:spacing w:line="240" w:lineRule="auto"/>
        <w:rPr>
          <w:rFonts w:ascii="Arial" w:hAnsi="Arial" w:cs="Arial"/>
          <w:sz w:val="20"/>
          <w:szCs w:val="20"/>
        </w:rPr>
      </w:pPr>
      <w:r w:rsidRPr="00162A1D">
        <w:rPr>
          <w:rFonts w:ascii="Arial" w:hAnsi="Arial" w:cs="Arial"/>
          <w:sz w:val="20"/>
          <w:szCs w:val="20"/>
        </w:rPr>
        <w:t xml:space="preserve">1- Coordination issues </w:t>
      </w:r>
    </w:p>
    <w:p w14:paraId="6ADBF2E6" w14:textId="77777777" w:rsidR="00EA6E35" w:rsidRPr="00162A1D" w:rsidRDefault="00EA6E35" w:rsidP="00E348D7">
      <w:pPr>
        <w:spacing w:line="240" w:lineRule="auto"/>
        <w:rPr>
          <w:rFonts w:ascii="Arial" w:hAnsi="Arial" w:cs="Arial"/>
          <w:sz w:val="20"/>
          <w:szCs w:val="20"/>
        </w:rPr>
      </w:pPr>
      <w:r w:rsidRPr="00162A1D">
        <w:rPr>
          <w:rFonts w:ascii="Arial" w:hAnsi="Arial" w:cs="Arial"/>
          <w:sz w:val="20"/>
          <w:szCs w:val="20"/>
        </w:rPr>
        <w:t>2- Decisions are changed frequently and not unified.</w:t>
      </w:r>
    </w:p>
    <w:p w14:paraId="13024417" w14:textId="77777777" w:rsidR="00EA6E35" w:rsidRPr="00162A1D" w:rsidRDefault="00EA6E35" w:rsidP="00E348D7">
      <w:pPr>
        <w:spacing w:line="240" w:lineRule="auto"/>
        <w:rPr>
          <w:rFonts w:ascii="Arial" w:hAnsi="Arial" w:cs="Arial"/>
          <w:sz w:val="20"/>
          <w:szCs w:val="20"/>
        </w:rPr>
      </w:pPr>
      <w:r w:rsidRPr="00162A1D">
        <w:rPr>
          <w:rFonts w:ascii="Arial" w:hAnsi="Arial" w:cs="Arial"/>
          <w:sz w:val="20"/>
          <w:szCs w:val="20"/>
        </w:rPr>
        <w:t>3- Discrepancy in decision making on the different levels</w:t>
      </w:r>
    </w:p>
    <w:p w14:paraId="07BE7F68" w14:textId="39B1CA6E" w:rsidR="00EA6E35" w:rsidRPr="00162A1D" w:rsidRDefault="00EA6E35" w:rsidP="00E348D7">
      <w:pPr>
        <w:spacing w:line="240" w:lineRule="auto"/>
        <w:rPr>
          <w:rFonts w:ascii="Arial" w:hAnsi="Arial" w:cs="Arial"/>
          <w:sz w:val="20"/>
          <w:szCs w:val="20"/>
        </w:rPr>
      </w:pPr>
      <w:r w:rsidRPr="00162A1D">
        <w:rPr>
          <w:rFonts w:ascii="Arial" w:hAnsi="Arial" w:cs="Arial"/>
          <w:sz w:val="20"/>
          <w:szCs w:val="20"/>
        </w:rPr>
        <w:t xml:space="preserve">4- Access to national level on technical ministries  </w:t>
      </w:r>
    </w:p>
    <w:p w14:paraId="6359BD68" w14:textId="74AFB6C0" w:rsidR="00EA6E35" w:rsidRPr="00162A1D" w:rsidRDefault="00EA6E35" w:rsidP="00E348D7">
      <w:pPr>
        <w:jc w:val="center"/>
        <w:rPr>
          <w:rFonts w:ascii="Arial" w:hAnsi="Arial" w:cs="Arial"/>
          <w:sz w:val="20"/>
          <w:szCs w:val="20"/>
        </w:rPr>
      </w:pPr>
      <w:r w:rsidRPr="00162A1D">
        <w:rPr>
          <w:rFonts w:ascii="Arial" w:hAnsi="Arial" w:cs="Arial"/>
          <w:noProof/>
          <w:sz w:val="20"/>
          <w:szCs w:val="20"/>
        </w:rPr>
        <w:drawing>
          <wp:inline distT="0" distB="0" distL="0" distR="0" wp14:anchorId="2854454F" wp14:editId="7DA92113">
            <wp:extent cx="5359400" cy="1879600"/>
            <wp:effectExtent l="0" t="0" r="25400" b="25400"/>
            <wp:docPr id="1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01A4842" w14:textId="5C66BFD9" w:rsidR="001B5EEF" w:rsidRPr="00162A1D" w:rsidRDefault="00EA6E35" w:rsidP="00E348D7">
      <w:pPr>
        <w:jc w:val="center"/>
        <w:rPr>
          <w:rFonts w:ascii="Arial" w:hAnsi="Arial" w:cs="Arial"/>
          <w:sz w:val="20"/>
          <w:szCs w:val="20"/>
        </w:rPr>
      </w:pPr>
      <w:r w:rsidRPr="00162A1D">
        <w:rPr>
          <w:rFonts w:ascii="Arial" w:hAnsi="Arial" w:cs="Arial"/>
          <w:noProof/>
          <w:sz w:val="20"/>
          <w:szCs w:val="20"/>
        </w:rPr>
        <w:drawing>
          <wp:inline distT="0" distB="0" distL="0" distR="0" wp14:anchorId="73F97A7E" wp14:editId="2DD40432">
            <wp:extent cx="5270500" cy="2270125"/>
            <wp:effectExtent l="0" t="0" r="12700" b="15875"/>
            <wp:docPr id="1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001B5EEF" w:rsidRPr="00162A1D">
        <w:rPr>
          <w:rFonts w:ascii="Arial" w:hAnsi="Arial" w:cs="Arial"/>
          <w:sz w:val="20"/>
          <w:szCs w:val="20"/>
        </w:rPr>
        <w:br w:type="page"/>
      </w:r>
    </w:p>
    <w:p w14:paraId="4B52D81A" w14:textId="77777777" w:rsidR="001B5EEF" w:rsidRPr="00E348D7" w:rsidRDefault="001B5EEF" w:rsidP="001B5EEF">
      <w:pPr>
        <w:jc w:val="center"/>
        <w:rPr>
          <w:rFonts w:ascii="Arial" w:hAnsi="Arial" w:cs="Arial"/>
          <w:b/>
          <w:szCs w:val="20"/>
          <w:shd w:val="clear" w:color="auto" w:fill="FFFFFF"/>
          <w:lang w:val="en-GB"/>
        </w:rPr>
      </w:pPr>
      <w:r w:rsidRPr="00E348D7">
        <w:rPr>
          <w:rFonts w:ascii="Arial" w:hAnsi="Arial" w:cs="Arial"/>
          <w:b/>
          <w:szCs w:val="20"/>
          <w:shd w:val="clear" w:color="auto" w:fill="FFFFFF"/>
          <w:lang w:val="en-GB"/>
        </w:rPr>
        <w:lastRenderedPageBreak/>
        <w:t>Education: 30 organisations</w:t>
      </w:r>
    </w:p>
    <w:p w14:paraId="44394C44" w14:textId="77777777" w:rsidR="001B5EEF" w:rsidRPr="00162A1D" w:rsidRDefault="001B5EEF" w:rsidP="001B5EEF">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Knowledge of conflict issue </w:t>
      </w:r>
      <w:r w:rsidRPr="00162A1D">
        <w:rPr>
          <w:rFonts w:ascii="Arial" w:hAnsi="Arial" w:cs="Arial"/>
          <w:noProof/>
          <w:sz w:val="20"/>
          <w:szCs w:val="20"/>
        </w:rPr>
        <w:drawing>
          <wp:inline distT="0" distB="0" distL="0" distR="0" wp14:anchorId="00A72A43" wp14:editId="280D019E">
            <wp:extent cx="5010150" cy="2790825"/>
            <wp:effectExtent l="0" t="0" r="19050" b="9525"/>
            <wp:docPr id="1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52F98FA" w14:textId="77777777" w:rsidR="001B5EEF" w:rsidRPr="00162A1D" w:rsidRDefault="001B5EEF" w:rsidP="001B5EEF">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Contribution to social stability </w:t>
      </w:r>
    </w:p>
    <w:p w14:paraId="6E0CAB93" w14:textId="77777777" w:rsidR="001B5EEF" w:rsidRPr="00162A1D" w:rsidRDefault="001B5EEF" w:rsidP="001B5EEF">
      <w:p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21/30 consider that their organisation’s programs in Lebanon contribute to social stability</w:t>
      </w:r>
    </w:p>
    <w:p w14:paraId="771F10CC" w14:textId="77777777" w:rsidR="001B5EEF" w:rsidRPr="00162A1D" w:rsidRDefault="001B5EEF" w:rsidP="001B5EEF">
      <w:pPr>
        <w:pStyle w:val="ListParagraph"/>
        <w:numPr>
          <w:ilvl w:val="0"/>
          <w:numId w:val="1"/>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18/21 have programs targeting host communities as well as refugee communities</w:t>
      </w:r>
    </w:p>
    <w:p w14:paraId="7DD45F9C" w14:textId="77777777" w:rsidR="001B5EEF" w:rsidRPr="00162A1D" w:rsidRDefault="001B5EEF" w:rsidP="001B5EEF">
      <w:pPr>
        <w:pStyle w:val="ListParagraph"/>
        <w:numPr>
          <w:ilvl w:val="0"/>
          <w:numId w:val="1"/>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17/21 have programs contributing to strengthening the role of local institutions and authorities (municipalities, SDCs) to manage the crisis</w:t>
      </w:r>
    </w:p>
    <w:p w14:paraId="5764ED77" w14:textId="77777777" w:rsidR="001B5EEF" w:rsidRPr="00162A1D" w:rsidRDefault="001B5EEF" w:rsidP="001B5EEF">
      <w:pPr>
        <w:pStyle w:val="ListParagraph"/>
        <w:numPr>
          <w:ilvl w:val="0"/>
          <w:numId w:val="1"/>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17/21 have programs bringing members from different communities together as part of their activities and build trust between and within communities</w:t>
      </w:r>
    </w:p>
    <w:p w14:paraId="55F6C991" w14:textId="77777777" w:rsidR="001B5EEF" w:rsidRPr="00162A1D" w:rsidRDefault="001B5EEF" w:rsidP="001B5EEF">
      <w:pPr>
        <w:pStyle w:val="ListParagraph"/>
        <w:numPr>
          <w:ilvl w:val="0"/>
          <w:numId w:val="1"/>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16/21 have programs promoting social stability values (civic engagement, volunteering, tolerance and peaceful coexistence, conflict mediation and resolution) </w:t>
      </w:r>
    </w:p>
    <w:p w14:paraId="779FA99F" w14:textId="77777777" w:rsidR="001B5EEF" w:rsidRPr="00162A1D" w:rsidRDefault="001B5EEF" w:rsidP="001B5EEF">
      <w:pPr>
        <w:pStyle w:val="ListParagraph"/>
        <w:numPr>
          <w:ilvl w:val="0"/>
          <w:numId w:val="1"/>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12/21 have programs supporting the delivery of basic services to decrease tensions related to pressure on basic services</w:t>
      </w:r>
    </w:p>
    <w:p w14:paraId="51197815" w14:textId="3C2A3EF5" w:rsidR="001B5EEF" w:rsidRPr="00162A1D" w:rsidRDefault="001B5EEF" w:rsidP="001B5EEF">
      <w:pPr>
        <w:pStyle w:val="ListParagraph"/>
        <w:numPr>
          <w:ilvl w:val="0"/>
          <w:numId w:val="1"/>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11/21 implement specific social stability programs (under the Social Stability Sector)</w:t>
      </w:r>
    </w:p>
    <w:p w14:paraId="592096A4" w14:textId="77777777" w:rsidR="001B5EEF" w:rsidRPr="00162A1D" w:rsidRDefault="001B5EEF" w:rsidP="001B5EEF">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Work with Public Institutions </w:t>
      </w:r>
    </w:p>
    <w:p w14:paraId="524009B0" w14:textId="77777777" w:rsidR="001B5EEF" w:rsidRPr="00162A1D" w:rsidRDefault="001B5EEF" w:rsidP="001B5EEF">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Average: </w:t>
      </w:r>
      <w:r w:rsidRPr="00162A1D">
        <w:rPr>
          <w:rFonts w:ascii="Arial" w:eastAsia="Times New Roman" w:hAnsi="Arial" w:cs="Arial"/>
          <w:b/>
          <w:bCs/>
          <w:sz w:val="20"/>
          <w:szCs w:val="20"/>
          <w:lang w:val="en-GB"/>
        </w:rPr>
        <w:t>2.90</w:t>
      </w:r>
    </w:p>
    <w:p w14:paraId="7DC0854B" w14:textId="77777777" w:rsidR="001B5EEF" w:rsidRPr="00162A1D" w:rsidRDefault="001B5EEF" w:rsidP="001B5EEF">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Highest: </w:t>
      </w:r>
      <w:r w:rsidRPr="00162A1D">
        <w:rPr>
          <w:rFonts w:ascii="Arial" w:eastAsia="Times New Roman" w:hAnsi="Arial" w:cs="Arial"/>
          <w:b/>
          <w:bCs/>
          <w:sz w:val="20"/>
          <w:szCs w:val="20"/>
          <w:lang w:val="en-GB"/>
        </w:rPr>
        <w:t>3.98 for Municipalities</w:t>
      </w:r>
    </w:p>
    <w:p w14:paraId="22F7FEAF" w14:textId="7228A268" w:rsidR="001B5EEF" w:rsidRPr="00162A1D" w:rsidRDefault="001B5EEF" w:rsidP="001B5EEF">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Lowest: </w:t>
      </w:r>
      <w:r w:rsidRPr="00162A1D">
        <w:rPr>
          <w:rFonts w:ascii="Arial" w:eastAsia="Times New Roman" w:hAnsi="Arial" w:cs="Arial"/>
          <w:b/>
          <w:bCs/>
          <w:sz w:val="20"/>
          <w:szCs w:val="20"/>
          <w:lang w:val="en-GB"/>
        </w:rPr>
        <w:t>2.30 for Ministry of Public Health</w:t>
      </w:r>
    </w:p>
    <w:p w14:paraId="1EF24F00" w14:textId="77777777" w:rsidR="001B5EEF" w:rsidRPr="00162A1D" w:rsidRDefault="001B5EEF" w:rsidP="001B5EEF">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Conflict Sensitivity mechanisms  </w:t>
      </w:r>
    </w:p>
    <w:p w14:paraId="75FA844C" w14:textId="3BBE2215" w:rsidR="001B5EEF" w:rsidRPr="00162A1D" w:rsidRDefault="001B5EEF" w:rsidP="001B5EEF">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10/30 have internal mechanism(s) in house to make sure their programs are conflict sensitive</w:t>
      </w:r>
    </w:p>
    <w:p w14:paraId="26B23E7D" w14:textId="77777777" w:rsidR="001B5EEF" w:rsidRPr="00162A1D" w:rsidRDefault="001B5EEF" w:rsidP="001B5EEF">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Training and guidance needs and suggestions </w:t>
      </w:r>
    </w:p>
    <w:p w14:paraId="1F140406" w14:textId="77777777" w:rsidR="001B5EEF" w:rsidRPr="00162A1D" w:rsidRDefault="001B5EEF" w:rsidP="001B5EEF">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lastRenderedPageBreak/>
        <w:t>Training needs: How useful would the following trainings be to increase your organizations’ contribution to social stability? (1- not useful, 5 very useful)</w:t>
      </w:r>
    </w:p>
    <w:p w14:paraId="5DEB2003" w14:textId="77777777" w:rsidR="001B5EEF" w:rsidRPr="00162A1D" w:rsidRDefault="001B5EEF" w:rsidP="001B5EEF">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1603C37F" wp14:editId="296FADDA">
            <wp:extent cx="5686425" cy="3267075"/>
            <wp:effectExtent l="0" t="0" r="9525" b="9525"/>
            <wp:docPr id="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037F805" w14:textId="77777777" w:rsidR="001B5EEF" w:rsidRPr="00162A1D" w:rsidRDefault="001B5EEF" w:rsidP="001B5EEF">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What other type of support from the social stability sector would be useful to increase your organization’s contribution to social stability? (1- not useful, 5- very useful)</w:t>
      </w:r>
    </w:p>
    <w:p w14:paraId="1E32A4FF" w14:textId="77777777" w:rsidR="001B5EEF" w:rsidRPr="00162A1D" w:rsidRDefault="001B5EEF" w:rsidP="001B5EEF">
      <w:pPr>
        <w:rPr>
          <w:rFonts w:ascii="Arial" w:hAnsi="Arial" w:cs="Arial"/>
          <w:sz w:val="20"/>
          <w:szCs w:val="20"/>
          <w:lang w:val="en-GB"/>
        </w:rPr>
      </w:pPr>
      <w:r w:rsidRPr="00162A1D">
        <w:rPr>
          <w:rFonts w:ascii="Arial" w:hAnsi="Arial" w:cs="Arial"/>
          <w:noProof/>
          <w:sz w:val="20"/>
          <w:szCs w:val="20"/>
        </w:rPr>
        <w:drawing>
          <wp:inline distT="0" distB="0" distL="0" distR="0" wp14:anchorId="3C6D43B3" wp14:editId="46CAEE66">
            <wp:extent cx="5943600" cy="3128645"/>
            <wp:effectExtent l="0" t="0" r="19050" b="14605"/>
            <wp:docPr id="1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7F08190" w14:textId="77777777" w:rsidR="001B5EEF" w:rsidRPr="00162A1D" w:rsidRDefault="001B5EEF" w:rsidP="001B5EEF">
      <w:pPr>
        <w:rPr>
          <w:rFonts w:ascii="Arial" w:hAnsi="Arial" w:cs="Arial"/>
          <w:sz w:val="20"/>
          <w:szCs w:val="20"/>
          <w:lang w:val="en-GB"/>
        </w:rPr>
      </w:pPr>
    </w:p>
    <w:p w14:paraId="6B9A7F74" w14:textId="77777777" w:rsidR="00EA6E35" w:rsidRPr="00162A1D" w:rsidRDefault="00EA6E35" w:rsidP="001B5EEF">
      <w:pPr>
        <w:rPr>
          <w:rFonts w:ascii="Arial" w:hAnsi="Arial" w:cs="Arial"/>
          <w:sz w:val="20"/>
          <w:szCs w:val="20"/>
        </w:rPr>
      </w:pPr>
    </w:p>
    <w:p w14:paraId="3CBFE215" w14:textId="77777777" w:rsidR="00EA6E35" w:rsidRPr="00162A1D" w:rsidRDefault="00EA6E35" w:rsidP="00EA6E35">
      <w:pPr>
        <w:rPr>
          <w:rFonts w:ascii="Arial" w:hAnsi="Arial" w:cs="Arial"/>
          <w:i/>
          <w:iCs/>
          <w:sz w:val="20"/>
          <w:szCs w:val="20"/>
          <w:lang w:val="en-GB"/>
        </w:rPr>
      </w:pPr>
    </w:p>
    <w:p w14:paraId="319DB7A2" w14:textId="308B941E" w:rsidR="007A4AF3" w:rsidRPr="00162A1D" w:rsidRDefault="007A4AF3" w:rsidP="007A4AF3">
      <w:pPr>
        <w:jc w:val="center"/>
        <w:rPr>
          <w:rFonts w:ascii="Arial" w:hAnsi="Arial" w:cs="Arial"/>
          <w:b/>
          <w:bCs/>
          <w:sz w:val="20"/>
          <w:szCs w:val="20"/>
        </w:rPr>
      </w:pPr>
      <w:r w:rsidRPr="00162A1D">
        <w:rPr>
          <w:rFonts w:ascii="Arial" w:hAnsi="Arial" w:cs="Arial"/>
          <w:b/>
          <w:bCs/>
          <w:sz w:val="20"/>
          <w:szCs w:val="20"/>
        </w:rPr>
        <w:t>Protection</w:t>
      </w:r>
    </w:p>
    <w:p w14:paraId="0A9A9E8B" w14:textId="77777777" w:rsidR="007A4AF3" w:rsidRPr="00162A1D" w:rsidRDefault="007A4AF3" w:rsidP="007A4AF3">
      <w:pPr>
        <w:rPr>
          <w:rFonts w:ascii="Arial" w:hAnsi="Arial" w:cs="Arial"/>
          <w:b/>
          <w:bCs/>
          <w:sz w:val="20"/>
          <w:szCs w:val="20"/>
        </w:rPr>
      </w:pPr>
      <w:r w:rsidRPr="00162A1D">
        <w:rPr>
          <w:rFonts w:ascii="Arial" w:hAnsi="Arial" w:cs="Arial"/>
          <w:b/>
          <w:bCs/>
          <w:sz w:val="20"/>
          <w:szCs w:val="20"/>
        </w:rPr>
        <w:t>Participation:</w:t>
      </w:r>
    </w:p>
    <w:p w14:paraId="710B75C2" w14:textId="1F527B4C" w:rsidR="007A4AF3" w:rsidRPr="00162A1D" w:rsidRDefault="007A4AF3" w:rsidP="00E348D7">
      <w:pPr>
        <w:rPr>
          <w:rFonts w:ascii="Arial" w:hAnsi="Arial" w:cs="Arial"/>
          <w:b/>
          <w:bCs/>
          <w:sz w:val="20"/>
          <w:szCs w:val="20"/>
        </w:rPr>
      </w:pPr>
      <w:r w:rsidRPr="00E348D7">
        <w:rPr>
          <w:rFonts w:ascii="Arial" w:hAnsi="Arial" w:cs="Arial"/>
          <w:bCs/>
          <w:sz w:val="20"/>
          <w:szCs w:val="20"/>
        </w:rPr>
        <w:t>Out of 34 respondents, most are members of IN</w:t>
      </w:r>
      <w:r w:rsidR="00E348D7" w:rsidRPr="00E348D7">
        <w:rPr>
          <w:rFonts w:ascii="Arial" w:hAnsi="Arial" w:cs="Arial"/>
          <w:bCs/>
          <w:sz w:val="20"/>
          <w:szCs w:val="20"/>
        </w:rPr>
        <w:t>GOs, followed by national NGOs -</w:t>
      </w:r>
      <w:r w:rsidRPr="00E348D7">
        <w:rPr>
          <w:rFonts w:ascii="Arial" w:hAnsi="Arial" w:cs="Arial"/>
          <w:sz w:val="20"/>
          <w:szCs w:val="20"/>
        </w:rPr>
        <w:t xml:space="preserve">Only two </w:t>
      </w:r>
      <w:r w:rsidRPr="00162A1D">
        <w:rPr>
          <w:rFonts w:ascii="Arial" w:hAnsi="Arial" w:cs="Arial"/>
          <w:sz w:val="20"/>
          <w:szCs w:val="20"/>
        </w:rPr>
        <w:t>respondents are from UN agencies, while one respondent has not indicated the agency.</w:t>
      </w:r>
    </w:p>
    <w:p w14:paraId="5FB19939" w14:textId="77777777" w:rsidR="007A4AF3" w:rsidRPr="00162A1D" w:rsidRDefault="007A4AF3" w:rsidP="007A4AF3">
      <w:pPr>
        <w:jc w:val="both"/>
        <w:rPr>
          <w:rFonts w:ascii="Arial" w:hAnsi="Arial" w:cs="Arial"/>
          <w:b/>
          <w:bCs/>
          <w:sz w:val="20"/>
          <w:szCs w:val="20"/>
        </w:rPr>
      </w:pPr>
      <w:r w:rsidRPr="00162A1D">
        <w:rPr>
          <w:rFonts w:ascii="Arial" w:hAnsi="Arial" w:cs="Arial"/>
          <w:b/>
          <w:bCs/>
          <w:sz w:val="20"/>
          <w:szCs w:val="20"/>
        </w:rPr>
        <w:t>Regional Distribution:</w:t>
      </w:r>
    </w:p>
    <w:p w14:paraId="3B500263" w14:textId="77777777" w:rsidR="007A4AF3" w:rsidRPr="00162A1D" w:rsidRDefault="007A4AF3" w:rsidP="007A4AF3">
      <w:pPr>
        <w:jc w:val="both"/>
        <w:rPr>
          <w:rFonts w:ascii="Arial" w:hAnsi="Arial" w:cs="Arial"/>
          <w:sz w:val="20"/>
          <w:szCs w:val="20"/>
        </w:rPr>
      </w:pPr>
      <w:r w:rsidRPr="00162A1D">
        <w:rPr>
          <w:rFonts w:ascii="Arial" w:hAnsi="Arial" w:cs="Arial"/>
          <w:sz w:val="20"/>
          <w:szCs w:val="20"/>
        </w:rPr>
        <w:t>Most of agencies are concentrated in activities in Bekaa and Beirut/ Mt. Lebanon; however, cumulatively north is represented with a highest number of respondents (10 each from Akkar and T5);</w:t>
      </w:r>
    </w:p>
    <w:p w14:paraId="5FA9A389" w14:textId="77777777" w:rsidR="007A4AF3" w:rsidRPr="00162A1D" w:rsidRDefault="007A4AF3" w:rsidP="007A4AF3">
      <w:pPr>
        <w:rPr>
          <w:rFonts w:ascii="Arial" w:hAnsi="Arial" w:cs="Arial"/>
          <w:b/>
          <w:bCs/>
          <w:sz w:val="20"/>
          <w:szCs w:val="20"/>
        </w:rPr>
      </w:pPr>
      <w:r w:rsidRPr="00162A1D">
        <w:rPr>
          <w:rFonts w:ascii="Arial" w:hAnsi="Arial" w:cs="Arial"/>
          <w:b/>
          <w:bCs/>
          <w:sz w:val="20"/>
          <w:szCs w:val="20"/>
        </w:rPr>
        <w:t>Knowledge on Conflict/ Stability analysis</w:t>
      </w:r>
    </w:p>
    <w:p w14:paraId="09F3A294" w14:textId="77777777" w:rsidR="007A4AF3" w:rsidRPr="00162A1D" w:rsidRDefault="007A4AF3" w:rsidP="007A4AF3">
      <w:pPr>
        <w:rPr>
          <w:rFonts w:ascii="Arial" w:hAnsi="Arial" w:cs="Arial"/>
          <w:sz w:val="20"/>
          <w:szCs w:val="20"/>
        </w:rPr>
      </w:pPr>
      <w:r w:rsidRPr="00162A1D">
        <w:rPr>
          <w:rFonts w:ascii="Arial" w:hAnsi="Arial" w:cs="Arial"/>
          <w:sz w:val="20"/>
          <w:szCs w:val="20"/>
        </w:rPr>
        <w:t>Respondents have indicated above average knowledge  on various aspects of conflict/social stability analysis, which confirms mutual interaction and connection between Protection and social stability:</w:t>
      </w:r>
    </w:p>
    <w:p w14:paraId="62B0B924" w14:textId="133C5A33" w:rsidR="007A4AF3" w:rsidRPr="00162A1D" w:rsidRDefault="007A4AF3" w:rsidP="007A4AF3">
      <w:pPr>
        <w:rPr>
          <w:rFonts w:ascii="Arial" w:hAnsi="Arial" w:cs="Arial"/>
          <w:sz w:val="20"/>
          <w:szCs w:val="20"/>
        </w:rPr>
      </w:pPr>
      <w:r w:rsidRPr="00162A1D">
        <w:rPr>
          <w:rFonts w:ascii="Arial" w:hAnsi="Arial" w:cs="Arial"/>
          <w:noProof/>
          <w:sz w:val="20"/>
          <w:szCs w:val="20"/>
        </w:rPr>
        <w:drawing>
          <wp:inline distT="0" distB="0" distL="0" distR="0" wp14:anchorId="1B84A36C" wp14:editId="78273580">
            <wp:extent cx="5930900" cy="2097405"/>
            <wp:effectExtent l="0" t="0" r="12700" b="36195"/>
            <wp:docPr id="2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0BB8ED1" w14:textId="77777777" w:rsidR="007A4AF3" w:rsidRPr="00162A1D" w:rsidRDefault="007A4AF3" w:rsidP="007A4AF3">
      <w:pPr>
        <w:jc w:val="both"/>
        <w:rPr>
          <w:rFonts w:ascii="Arial" w:hAnsi="Arial" w:cs="Arial"/>
          <w:sz w:val="20"/>
          <w:szCs w:val="20"/>
        </w:rPr>
      </w:pPr>
      <w:r w:rsidRPr="00162A1D">
        <w:rPr>
          <w:rFonts w:ascii="Arial" w:hAnsi="Arial" w:cs="Arial"/>
          <w:sz w:val="20"/>
          <w:szCs w:val="20"/>
        </w:rPr>
        <w:t>The highest level of knowledge is indicated on Causes of tension between refugees and host communities; this underlines the level of attention given to the dynamics of relations between refugees and hosts and also indicates the level of awareness on the issue.</w:t>
      </w:r>
    </w:p>
    <w:p w14:paraId="2662C19E" w14:textId="77777777" w:rsidR="007A4AF3" w:rsidRPr="00162A1D" w:rsidRDefault="007A4AF3" w:rsidP="007A4AF3">
      <w:pPr>
        <w:spacing w:after="0" w:line="240" w:lineRule="auto"/>
        <w:jc w:val="both"/>
        <w:rPr>
          <w:rFonts w:ascii="Arial" w:eastAsia="Times New Roman" w:hAnsi="Arial" w:cs="Arial"/>
          <w:b/>
          <w:bCs/>
          <w:sz w:val="20"/>
          <w:szCs w:val="20"/>
        </w:rPr>
      </w:pPr>
      <w:r w:rsidRPr="00162A1D">
        <w:rPr>
          <w:rFonts w:ascii="Arial" w:eastAsia="Times New Roman" w:hAnsi="Arial" w:cs="Arial"/>
          <w:b/>
          <w:bCs/>
          <w:sz w:val="20"/>
          <w:szCs w:val="20"/>
        </w:rPr>
        <w:t xml:space="preserve">Contribution of organization’s programs in Lebanon to social stability: </w:t>
      </w:r>
    </w:p>
    <w:p w14:paraId="35AA8E22" w14:textId="77777777" w:rsidR="007A4AF3" w:rsidRPr="00162A1D" w:rsidRDefault="007A4AF3" w:rsidP="007A4AF3">
      <w:pPr>
        <w:spacing w:line="240" w:lineRule="auto"/>
        <w:jc w:val="both"/>
        <w:rPr>
          <w:rFonts w:ascii="Arial" w:hAnsi="Arial" w:cs="Arial"/>
          <w:sz w:val="20"/>
          <w:szCs w:val="20"/>
        </w:rPr>
      </w:pPr>
    </w:p>
    <w:p w14:paraId="6B1B8FFB" w14:textId="77777777" w:rsidR="007A4AF3" w:rsidRPr="00162A1D" w:rsidRDefault="007A4AF3" w:rsidP="007A4AF3">
      <w:pPr>
        <w:spacing w:line="240" w:lineRule="auto"/>
        <w:jc w:val="both"/>
        <w:rPr>
          <w:rFonts w:ascii="Arial" w:hAnsi="Arial" w:cs="Arial"/>
          <w:sz w:val="20"/>
          <w:szCs w:val="20"/>
        </w:rPr>
      </w:pPr>
      <w:r w:rsidRPr="00162A1D">
        <w:rPr>
          <w:rFonts w:ascii="Arial" w:hAnsi="Arial" w:cs="Arial"/>
          <w:sz w:val="20"/>
          <w:szCs w:val="20"/>
        </w:rPr>
        <w:t>23 respondents have indicated that their respective agencies contribute to the Social stability (only one answer was negative, while the rest are left blank). The highest number of respondents indicated that their programmes contribute to the strengthening of the local capacities (at CDC and Municipality level);</w:t>
      </w:r>
    </w:p>
    <w:p w14:paraId="1B6F8406" w14:textId="53AD915E" w:rsidR="007A4AF3" w:rsidRPr="00162A1D" w:rsidRDefault="007A4AF3" w:rsidP="007A4AF3">
      <w:pPr>
        <w:rPr>
          <w:rFonts w:ascii="Arial" w:hAnsi="Arial" w:cs="Arial"/>
          <w:sz w:val="20"/>
          <w:szCs w:val="20"/>
        </w:rPr>
      </w:pPr>
      <w:r w:rsidRPr="00162A1D">
        <w:rPr>
          <w:rFonts w:ascii="Arial" w:hAnsi="Arial" w:cs="Arial"/>
          <w:noProof/>
          <w:sz w:val="20"/>
          <w:szCs w:val="20"/>
        </w:rPr>
        <w:lastRenderedPageBreak/>
        <w:drawing>
          <wp:inline distT="0" distB="0" distL="0" distR="0" wp14:anchorId="4A7E24F3" wp14:editId="32C0FAB8">
            <wp:extent cx="5715000" cy="2514600"/>
            <wp:effectExtent l="0" t="0" r="25400" b="25400"/>
            <wp:docPr id="2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028AD21" w14:textId="77777777" w:rsidR="007A4AF3" w:rsidRPr="00162A1D" w:rsidRDefault="007A4AF3" w:rsidP="007A4AF3">
      <w:pPr>
        <w:rPr>
          <w:rFonts w:ascii="Arial" w:hAnsi="Arial" w:cs="Arial"/>
          <w:b/>
          <w:bCs/>
          <w:sz w:val="20"/>
          <w:szCs w:val="20"/>
        </w:rPr>
      </w:pPr>
    </w:p>
    <w:p w14:paraId="53868163" w14:textId="77777777" w:rsidR="007A4AF3" w:rsidRPr="00162A1D" w:rsidRDefault="007A4AF3" w:rsidP="007A4AF3">
      <w:pPr>
        <w:rPr>
          <w:rFonts w:ascii="Arial" w:hAnsi="Arial" w:cs="Arial"/>
          <w:b/>
          <w:bCs/>
          <w:sz w:val="20"/>
          <w:szCs w:val="20"/>
        </w:rPr>
      </w:pPr>
      <w:r w:rsidRPr="00162A1D">
        <w:rPr>
          <w:rFonts w:ascii="Arial" w:hAnsi="Arial" w:cs="Arial"/>
          <w:b/>
          <w:bCs/>
          <w:sz w:val="20"/>
          <w:szCs w:val="20"/>
        </w:rPr>
        <w:t>Working with National Institutions and Local Governments:</w:t>
      </w:r>
    </w:p>
    <w:p w14:paraId="6A1E87DB" w14:textId="77777777" w:rsidR="007A4AF3" w:rsidRPr="00162A1D" w:rsidRDefault="007A4AF3" w:rsidP="007A4AF3">
      <w:pPr>
        <w:rPr>
          <w:rFonts w:ascii="Arial" w:hAnsi="Arial" w:cs="Arial"/>
          <w:sz w:val="20"/>
          <w:szCs w:val="20"/>
        </w:rPr>
      </w:pPr>
      <w:r w:rsidRPr="00162A1D">
        <w:rPr>
          <w:rFonts w:ascii="Arial" w:hAnsi="Arial" w:cs="Arial"/>
          <w:sz w:val="20"/>
          <w:szCs w:val="20"/>
        </w:rPr>
        <w:t>Largest number of respondents engages in work with municipalities, with a very high rating close to 4. Working with MOSA is second highest, while the least of interaction is attributed to security forces (at the average around 2);</w:t>
      </w:r>
    </w:p>
    <w:p w14:paraId="304ED50B" w14:textId="2FDB6496" w:rsidR="007A4AF3" w:rsidRPr="00162A1D" w:rsidRDefault="007A4AF3" w:rsidP="007A4AF3">
      <w:pPr>
        <w:rPr>
          <w:rFonts w:ascii="Arial" w:hAnsi="Arial" w:cs="Arial"/>
          <w:b/>
          <w:bCs/>
          <w:sz w:val="20"/>
          <w:szCs w:val="20"/>
        </w:rPr>
      </w:pPr>
      <w:r w:rsidRPr="00162A1D">
        <w:rPr>
          <w:rFonts w:ascii="Arial" w:hAnsi="Arial" w:cs="Arial"/>
          <w:noProof/>
          <w:sz w:val="20"/>
          <w:szCs w:val="20"/>
        </w:rPr>
        <w:drawing>
          <wp:inline distT="0" distB="0" distL="0" distR="0" wp14:anchorId="645C5963" wp14:editId="5B323300">
            <wp:extent cx="4572000" cy="2743200"/>
            <wp:effectExtent l="0" t="0" r="25400" b="25400"/>
            <wp:docPr id="2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B4FE3D5" w14:textId="77777777" w:rsidR="007A4AF3" w:rsidRPr="00162A1D" w:rsidRDefault="007A4AF3" w:rsidP="007A4AF3">
      <w:pPr>
        <w:jc w:val="both"/>
        <w:rPr>
          <w:rFonts w:ascii="Arial" w:hAnsi="Arial" w:cs="Arial"/>
          <w:b/>
          <w:bCs/>
          <w:sz w:val="20"/>
          <w:szCs w:val="20"/>
        </w:rPr>
      </w:pPr>
      <w:r w:rsidRPr="00162A1D">
        <w:rPr>
          <w:rFonts w:ascii="Arial" w:hAnsi="Arial" w:cs="Arial"/>
          <w:b/>
          <w:bCs/>
          <w:sz w:val="20"/>
          <w:szCs w:val="20"/>
        </w:rPr>
        <w:t>Working with Public Institutions- Challenges</w:t>
      </w:r>
    </w:p>
    <w:p w14:paraId="22E43E3E" w14:textId="77777777" w:rsidR="007A4AF3" w:rsidRPr="00162A1D" w:rsidRDefault="007A4AF3" w:rsidP="007A4AF3">
      <w:pPr>
        <w:jc w:val="both"/>
        <w:rPr>
          <w:rFonts w:ascii="Arial" w:hAnsi="Arial" w:cs="Arial"/>
          <w:sz w:val="20"/>
          <w:szCs w:val="20"/>
        </w:rPr>
      </w:pPr>
      <w:r w:rsidRPr="00162A1D">
        <w:rPr>
          <w:rFonts w:ascii="Arial" w:hAnsi="Arial" w:cs="Arial"/>
          <w:sz w:val="20"/>
          <w:szCs w:val="20"/>
        </w:rPr>
        <w:t>Respondents were asked to describe some of the challenges in engaging with institutions, and below are some of the comments within the group (the below comments are not attributed to the group, and they are extracted from various individual responses):</w:t>
      </w:r>
    </w:p>
    <w:p w14:paraId="29349E87"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 xml:space="preserve">Lack of strategic planning, </w:t>
      </w:r>
    </w:p>
    <w:p w14:paraId="62B257E4"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 xml:space="preserve">No tracking of activities of agencies on the ground; </w:t>
      </w:r>
    </w:p>
    <w:p w14:paraId="6EE29E2B"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lastRenderedPageBreak/>
        <w:t xml:space="preserve">Lack of expertise </w:t>
      </w:r>
    </w:p>
    <w:p w14:paraId="06DAB762"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 xml:space="preserve">no problem the Municipality is very open </w:t>
      </w:r>
    </w:p>
    <w:p w14:paraId="0FB9E37A"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no overall strategy for the government to address the crisis, and the ministries have their own strategies that they are following, no real coordination in between the ministries and within the ministries. Decisions are changed frequently and not unified.</w:t>
      </w:r>
    </w:p>
    <w:p w14:paraId="69586DA0"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low capacity; political stalemates - municipalities and heads of municipalities</w:t>
      </w:r>
    </w:p>
    <w:p w14:paraId="007276B5"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Discrepancy in decision making on the different levels (central vs municipality..etc.)</w:t>
      </w:r>
    </w:p>
    <w:p w14:paraId="4240C097"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Poor responsiveness</w:t>
      </w:r>
    </w:p>
    <w:p w14:paraId="49293B98"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Policy and Implementation</w:t>
      </w:r>
    </w:p>
    <w:p w14:paraId="4DE01A3F"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Access to national level on technical ministries  decision making at all level of public institutions,  unclarity on several government policies that are then interpreted differently in the different governorates</w:t>
      </w:r>
    </w:p>
    <w:p w14:paraId="295BCF89" w14:textId="77777777"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budget constraints of public institutions</w:t>
      </w:r>
    </w:p>
    <w:p w14:paraId="1900DF79" w14:textId="4D394385" w:rsidR="007A4AF3" w:rsidRPr="00162A1D" w:rsidRDefault="007A4AF3" w:rsidP="007A4AF3">
      <w:pPr>
        <w:numPr>
          <w:ilvl w:val="0"/>
          <w:numId w:val="7"/>
        </w:numPr>
        <w:spacing w:after="0"/>
        <w:jc w:val="both"/>
        <w:rPr>
          <w:rFonts w:ascii="Arial" w:hAnsi="Arial" w:cs="Arial"/>
          <w:sz w:val="20"/>
          <w:szCs w:val="20"/>
        </w:rPr>
      </w:pPr>
      <w:r w:rsidRPr="00162A1D">
        <w:rPr>
          <w:rFonts w:ascii="Arial" w:hAnsi="Arial" w:cs="Arial"/>
          <w:sz w:val="20"/>
          <w:szCs w:val="20"/>
        </w:rPr>
        <w:t>Weak, fragmented and without clear policy</w:t>
      </w:r>
    </w:p>
    <w:p w14:paraId="311B622B" w14:textId="2ACC07BD" w:rsidR="007A4AF3" w:rsidRPr="00162A1D" w:rsidRDefault="007A4AF3" w:rsidP="007A4AF3">
      <w:pPr>
        <w:spacing w:after="0"/>
        <w:jc w:val="both"/>
        <w:rPr>
          <w:rFonts w:ascii="Arial" w:hAnsi="Arial" w:cs="Arial"/>
          <w:sz w:val="20"/>
          <w:szCs w:val="20"/>
        </w:rPr>
      </w:pPr>
      <w:r w:rsidRPr="00162A1D">
        <w:rPr>
          <w:rFonts w:ascii="Arial" w:hAnsi="Arial" w:cs="Arial"/>
          <w:sz w:val="20"/>
          <w:szCs w:val="20"/>
        </w:rPr>
        <w:t xml:space="preserve">As  a conclusion, the main challenges indicated in responses seem to be the perception of lack of strategic planning, insufficient communication between various branches of administration, insufficient capacity and political constraints. </w:t>
      </w:r>
    </w:p>
    <w:p w14:paraId="0291DEB8" w14:textId="77777777" w:rsidR="007A4AF3" w:rsidRPr="00162A1D" w:rsidRDefault="007A4AF3" w:rsidP="007A4AF3">
      <w:pPr>
        <w:rPr>
          <w:rFonts w:ascii="Arial" w:hAnsi="Arial" w:cs="Arial"/>
          <w:b/>
          <w:bCs/>
          <w:sz w:val="20"/>
          <w:szCs w:val="20"/>
        </w:rPr>
      </w:pPr>
      <w:r w:rsidRPr="00162A1D">
        <w:rPr>
          <w:rFonts w:ascii="Arial" w:hAnsi="Arial" w:cs="Arial"/>
          <w:b/>
          <w:bCs/>
          <w:sz w:val="20"/>
          <w:szCs w:val="20"/>
        </w:rPr>
        <w:t>Training Needs</w:t>
      </w:r>
    </w:p>
    <w:p w14:paraId="3119FD2E" w14:textId="77777777" w:rsidR="007A4AF3" w:rsidRPr="00162A1D" w:rsidRDefault="007A4AF3" w:rsidP="007A4AF3">
      <w:pPr>
        <w:rPr>
          <w:rFonts w:ascii="Arial" w:hAnsi="Arial" w:cs="Arial"/>
          <w:sz w:val="20"/>
          <w:szCs w:val="20"/>
        </w:rPr>
      </w:pPr>
      <w:r w:rsidRPr="00162A1D">
        <w:rPr>
          <w:rFonts w:ascii="Arial" w:hAnsi="Arial" w:cs="Arial"/>
          <w:sz w:val="20"/>
          <w:szCs w:val="20"/>
        </w:rPr>
        <w:t>Regardless of the high level of knowledge on Conflict/ Social Stability issues indicated in the first part of the questionnaire, respondents have also indicated high demand for additional training, in particular for Conflict sensitive Programming and Conflict analysis.</w:t>
      </w:r>
    </w:p>
    <w:p w14:paraId="4D129A5D" w14:textId="7DE8A2E8" w:rsidR="007A4AF3" w:rsidRPr="00162A1D" w:rsidRDefault="007A4AF3" w:rsidP="007A4AF3">
      <w:pPr>
        <w:rPr>
          <w:rFonts w:ascii="Arial" w:hAnsi="Arial" w:cs="Arial"/>
          <w:b/>
          <w:bCs/>
          <w:sz w:val="20"/>
          <w:szCs w:val="20"/>
        </w:rPr>
      </w:pPr>
      <w:r w:rsidRPr="00162A1D">
        <w:rPr>
          <w:rFonts w:ascii="Arial" w:hAnsi="Arial" w:cs="Arial"/>
          <w:noProof/>
          <w:sz w:val="20"/>
          <w:szCs w:val="20"/>
        </w:rPr>
        <w:drawing>
          <wp:inline distT="0" distB="0" distL="0" distR="0" wp14:anchorId="45DE265F" wp14:editId="484424A4">
            <wp:extent cx="5600700" cy="1945640"/>
            <wp:effectExtent l="0" t="0" r="12700" b="35560"/>
            <wp:docPr id="2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DB8CBA8" w14:textId="77777777" w:rsidR="007A4AF3" w:rsidRPr="00162A1D" w:rsidRDefault="007A4AF3" w:rsidP="007A4AF3">
      <w:pPr>
        <w:rPr>
          <w:rFonts w:ascii="Arial" w:hAnsi="Arial" w:cs="Arial"/>
          <w:b/>
          <w:bCs/>
          <w:sz w:val="20"/>
          <w:szCs w:val="20"/>
        </w:rPr>
      </w:pPr>
      <w:r w:rsidRPr="00162A1D">
        <w:rPr>
          <w:rFonts w:ascii="Arial" w:hAnsi="Arial" w:cs="Arial"/>
          <w:b/>
          <w:bCs/>
          <w:sz w:val="20"/>
          <w:szCs w:val="20"/>
        </w:rPr>
        <w:t>Support in order to increase organization's contribution to social stability</w:t>
      </w:r>
    </w:p>
    <w:p w14:paraId="1569DF20" w14:textId="77777777" w:rsidR="007A4AF3" w:rsidRPr="00162A1D" w:rsidRDefault="007A4AF3" w:rsidP="007A4AF3">
      <w:pPr>
        <w:rPr>
          <w:rFonts w:ascii="Arial" w:hAnsi="Arial" w:cs="Arial"/>
          <w:sz w:val="20"/>
          <w:szCs w:val="20"/>
        </w:rPr>
      </w:pPr>
      <w:r w:rsidRPr="00162A1D">
        <w:rPr>
          <w:rFonts w:ascii="Arial" w:hAnsi="Arial" w:cs="Arial"/>
          <w:sz w:val="20"/>
          <w:szCs w:val="20"/>
        </w:rPr>
        <w:t>Respondents have also rated wit high marks the need for support in order to increase contribution of respective agencies in Social Stability.</w:t>
      </w:r>
    </w:p>
    <w:p w14:paraId="19A1821A" w14:textId="7145398C" w:rsidR="007A4AF3" w:rsidRPr="00162A1D" w:rsidRDefault="007A4AF3" w:rsidP="007A4AF3">
      <w:pPr>
        <w:rPr>
          <w:rFonts w:ascii="Arial" w:hAnsi="Arial" w:cs="Arial"/>
          <w:b/>
          <w:bCs/>
          <w:sz w:val="20"/>
          <w:szCs w:val="20"/>
        </w:rPr>
      </w:pPr>
      <w:r w:rsidRPr="00162A1D">
        <w:rPr>
          <w:rFonts w:ascii="Arial" w:hAnsi="Arial" w:cs="Arial"/>
          <w:noProof/>
          <w:sz w:val="20"/>
          <w:szCs w:val="20"/>
        </w:rPr>
        <w:lastRenderedPageBreak/>
        <w:drawing>
          <wp:inline distT="0" distB="0" distL="0" distR="0" wp14:anchorId="7672EA91" wp14:editId="394D9B22">
            <wp:extent cx="5003165" cy="2594610"/>
            <wp:effectExtent l="0" t="0" r="26035" b="21590"/>
            <wp:docPr id="2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408F11E" w14:textId="15C699D9" w:rsidR="007A4AF3" w:rsidRPr="00162A1D" w:rsidRDefault="007A4AF3" w:rsidP="007A4AF3">
      <w:pPr>
        <w:rPr>
          <w:rFonts w:ascii="Arial" w:hAnsi="Arial" w:cs="Arial"/>
          <w:sz w:val="20"/>
          <w:szCs w:val="20"/>
        </w:rPr>
      </w:pPr>
      <w:r w:rsidRPr="00162A1D">
        <w:rPr>
          <w:rFonts w:ascii="Arial" w:hAnsi="Arial" w:cs="Arial"/>
          <w:sz w:val="20"/>
          <w:szCs w:val="20"/>
        </w:rPr>
        <w:t>Respondents are in particular interested to learn about bes</w:t>
      </w:r>
      <w:r w:rsidR="00577C5D">
        <w:rPr>
          <w:rFonts w:ascii="Arial" w:hAnsi="Arial" w:cs="Arial"/>
          <w:sz w:val="20"/>
          <w:szCs w:val="20"/>
        </w:rPr>
        <w:t xml:space="preserve">t practices in implementation, </w:t>
      </w:r>
      <w:r w:rsidRPr="00162A1D">
        <w:rPr>
          <w:rFonts w:ascii="Arial" w:hAnsi="Arial" w:cs="Arial"/>
          <w:sz w:val="20"/>
          <w:szCs w:val="20"/>
        </w:rPr>
        <w:t>and have also opted for communication with other sectors and ensuring that social stability is regularly presented in interagency for a.</w:t>
      </w:r>
    </w:p>
    <w:p w14:paraId="4616E54A" w14:textId="77777777" w:rsidR="007A4AF3" w:rsidRPr="00162A1D" w:rsidRDefault="007A4AF3" w:rsidP="007A4AF3">
      <w:pPr>
        <w:rPr>
          <w:rFonts w:ascii="Arial" w:hAnsi="Arial" w:cs="Arial"/>
          <w:b/>
          <w:bCs/>
          <w:sz w:val="20"/>
          <w:szCs w:val="20"/>
        </w:rPr>
      </w:pPr>
      <w:r w:rsidRPr="00162A1D">
        <w:rPr>
          <w:rFonts w:ascii="Arial" w:hAnsi="Arial" w:cs="Arial"/>
          <w:b/>
          <w:bCs/>
          <w:sz w:val="20"/>
          <w:szCs w:val="20"/>
        </w:rPr>
        <w:t>Is there a specific cross-sect oral social stability issue you think the response should focus on?</w:t>
      </w:r>
    </w:p>
    <w:p w14:paraId="7767161B" w14:textId="77777777" w:rsidR="007A4AF3" w:rsidRPr="00162A1D" w:rsidRDefault="007A4AF3" w:rsidP="007A4AF3">
      <w:pPr>
        <w:jc w:val="both"/>
        <w:rPr>
          <w:rFonts w:ascii="Arial" w:hAnsi="Arial" w:cs="Arial"/>
          <w:sz w:val="20"/>
          <w:szCs w:val="20"/>
        </w:rPr>
      </w:pPr>
      <w:r w:rsidRPr="00162A1D">
        <w:rPr>
          <w:rFonts w:ascii="Arial" w:hAnsi="Arial" w:cs="Arial"/>
          <w:sz w:val="20"/>
          <w:szCs w:val="20"/>
        </w:rPr>
        <w:t>Respondents have also listed cross- sectoral issues for particular attention: connection between Social stability and protection are indicated several times, as well as the issue of livelihoods. Below statements are extracted from individual responses and do not represent a conclusion:</w:t>
      </w:r>
    </w:p>
    <w:p w14:paraId="48C7FBED" w14:textId="77777777" w:rsidR="007A4AF3" w:rsidRPr="00162A1D" w:rsidRDefault="007A4AF3" w:rsidP="007A4AF3">
      <w:pPr>
        <w:numPr>
          <w:ilvl w:val="0"/>
          <w:numId w:val="6"/>
        </w:numPr>
        <w:spacing w:after="0"/>
        <w:jc w:val="both"/>
        <w:rPr>
          <w:rFonts w:ascii="Arial" w:hAnsi="Arial" w:cs="Arial"/>
          <w:sz w:val="20"/>
          <w:szCs w:val="20"/>
        </w:rPr>
      </w:pPr>
      <w:r w:rsidRPr="00162A1D">
        <w:rPr>
          <w:rFonts w:ascii="Arial" w:hAnsi="Arial" w:cs="Arial"/>
          <w:sz w:val="20"/>
          <w:szCs w:val="20"/>
        </w:rPr>
        <w:t>Livelihood and protection</w:t>
      </w:r>
    </w:p>
    <w:p w14:paraId="3B187F27" w14:textId="77777777" w:rsidR="007A4AF3" w:rsidRPr="00162A1D" w:rsidRDefault="007A4AF3" w:rsidP="007A4AF3">
      <w:pPr>
        <w:numPr>
          <w:ilvl w:val="0"/>
          <w:numId w:val="6"/>
        </w:numPr>
        <w:spacing w:after="0"/>
        <w:jc w:val="both"/>
        <w:rPr>
          <w:rFonts w:ascii="Arial" w:hAnsi="Arial" w:cs="Arial"/>
          <w:sz w:val="20"/>
          <w:szCs w:val="20"/>
        </w:rPr>
      </w:pPr>
      <w:r w:rsidRPr="00162A1D">
        <w:rPr>
          <w:rFonts w:ascii="Arial" w:hAnsi="Arial" w:cs="Arial"/>
          <w:sz w:val="20"/>
          <w:szCs w:val="20"/>
        </w:rPr>
        <w:t>no specific cross-sectoral issue, other than the huge number of refugees that is affecting by its nature most of the issues</w:t>
      </w:r>
    </w:p>
    <w:p w14:paraId="35D2BCA8" w14:textId="77777777" w:rsidR="007A4AF3" w:rsidRPr="00162A1D" w:rsidRDefault="007A4AF3" w:rsidP="007A4AF3">
      <w:pPr>
        <w:numPr>
          <w:ilvl w:val="0"/>
          <w:numId w:val="6"/>
        </w:numPr>
        <w:spacing w:after="0"/>
        <w:jc w:val="both"/>
        <w:rPr>
          <w:rFonts w:ascii="Arial" w:hAnsi="Arial" w:cs="Arial"/>
          <w:sz w:val="20"/>
          <w:szCs w:val="20"/>
        </w:rPr>
      </w:pPr>
      <w:r w:rsidRPr="00162A1D">
        <w:rPr>
          <w:rFonts w:ascii="Arial" w:hAnsi="Arial" w:cs="Arial"/>
          <w:sz w:val="20"/>
          <w:szCs w:val="20"/>
        </w:rPr>
        <w:t>Protection (second choice Livelihoods)</w:t>
      </w:r>
    </w:p>
    <w:p w14:paraId="709C496D" w14:textId="77777777" w:rsidR="007A4AF3" w:rsidRPr="00162A1D" w:rsidRDefault="007A4AF3" w:rsidP="007A4AF3">
      <w:pPr>
        <w:numPr>
          <w:ilvl w:val="0"/>
          <w:numId w:val="6"/>
        </w:numPr>
        <w:spacing w:after="0"/>
        <w:jc w:val="both"/>
        <w:rPr>
          <w:rFonts w:ascii="Arial" w:hAnsi="Arial" w:cs="Arial"/>
          <w:sz w:val="20"/>
          <w:szCs w:val="20"/>
        </w:rPr>
      </w:pPr>
      <w:r w:rsidRPr="00162A1D">
        <w:rPr>
          <w:rFonts w:ascii="Arial" w:hAnsi="Arial" w:cs="Arial"/>
          <w:sz w:val="20"/>
          <w:szCs w:val="20"/>
        </w:rPr>
        <w:t xml:space="preserve">provision of WASH services and infrastructure, or basic urban services in general. </w:t>
      </w:r>
    </w:p>
    <w:p w14:paraId="36B9D6FB" w14:textId="77777777" w:rsidR="007A4AF3" w:rsidRPr="00162A1D" w:rsidRDefault="007A4AF3" w:rsidP="007A4AF3">
      <w:pPr>
        <w:numPr>
          <w:ilvl w:val="0"/>
          <w:numId w:val="6"/>
        </w:numPr>
        <w:spacing w:after="0"/>
        <w:jc w:val="both"/>
        <w:rPr>
          <w:rFonts w:ascii="Arial" w:hAnsi="Arial" w:cs="Arial"/>
          <w:sz w:val="20"/>
          <w:szCs w:val="20"/>
        </w:rPr>
      </w:pPr>
      <w:r w:rsidRPr="00162A1D">
        <w:rPr>
          <w:rFonts w:ascii="Arial" w:hAnsi="Arial" w:cs="Arial"/>
          <w:sz w:val="20"/>
          <w:szCs w:val="20"/>
        </w:rPr>
        <w:t>Engaging local community based bodies in planning, implementation and evaluation of emergency assistance</w:t>
      </w:r>
    </w:p>
    <w:p w14:paraId="127922BE" w14:textId="77777777" w:rsidR="007A4AF3" w:rsidRPr="00162A1D" w:rsidRDefault="007A4AF3" w:rsidP="007A4AF3">
      <w:pPr>
        <w:numPr>
          <w:ilvl w:val="0"/>
          <w:numId w:val="6"/>
        </w:numPr>
        <w:spacing w:after="0"/>
        <w:jc w:val="both"/>
        <w:rPr>
          <w:rFonts w:ascii="Arial" w:hAnsi="Arial" w:cs="Arial"/>
          <w:sz w:val="20"/>
          <w:szCs w:val="20"/>
        </w:rPr>
      </w:pPr>
      <w:r w:rsidRPr="00162A1D">
        <w:rPr>
          <w:rFonts w:ascii="Arial" w:hAnsi="Arial" w:cs="Arial"/>
          <w:sz w:val="20"/>
          <w:szCs w:val="20"/>
        </w:rPr>
        <w:t>Social Stability and Protection overlapping topics as extremely important, and how to ensure the maintenance of full integrity of both.</w:t>
      </w:r>
    </w:p>
    <w:p w14:paraId="4C369868" w14:textId="77777777" w:rsidR="007A4AF3" w:rsidRPr="00162A1D" w:rsidRDefault="007A4AF3" w:rsidP="007A4AF3">
      <w:pPr>
        <w:numPr>
          <w:ilvl w:val="0"/>
          <w:numId w:val="6"/>
        </w:numPr>
        <w:spacing w:after="0"/>
        <w:jc w:val="both"/>
        <w:rPr>
          <w:rFonts w:ascii="Arial" w:hAnsi="Arial" w:cs="Arial"/>
          <w:sz w:val="20"/>
          <w:szCs w:val="20"/>
        </w:rPr>
      </w:pPr>
      <w:r w:rsidRPr="00162A1D">
        <w:rPr>
          <w:rFonts w:ascii="Arial" w:hAnsi="Arial" w:cs="Arial"/>
          <w:sz w:val="20"/>
          <w:szCs w:val="20"/>
        </w:rPr>
        <w:t>tensions host community and refugees</w:t>
      </w:r>
    </w:p>
    <w:p w14:paraId="3B2D833E" w14:textId="1B29B9DD" w:rsidR="007A4AF3" w:rsidRPr="00162A1D" w:rsidRDefault="007A4AF3" w:rsidP="007A4AF3">
      <w:pPr>
        <w:numPr>
          <w:ilvl w:val="0"/>
          <w:numId w:val="6"/>
        </w:numPr>
        <w:spacing w:after="0"/>
        <w:jc w:val="both"/>
        <w:rPr>
          <w:rFonts w:ascii="Arial" w:hAnsi="Arial" w:cs="Arial"/>
          <w:sz w:val="20"/>
          <w:szCs w:val="20"/>
        </w:rPr>
      </w:pPr>
      <w:r w:rsidRPr="00162A1D">
        <w:rPr>
          <w:rFonts w:ascii="Arial" w:hAnsi="Arial" w:cs="Arial"/>
          <w:sz w:val="20"/>
          <w:szCs w:val="20"/>
        </w:rPr>
        <w:t>Access to essential services</w:t>
      </w:r>
    </w:p>
    <w:p w14:paraId="5C10BC8F" w14:textId="77777777" w:rsidR="007A4AF3" w:rsidRPr="00162A1D" w:rsidRDefault="007A4AF3" w:rsidP="007A4AF3">
      <w:pPr>
        <w:rPr>
          <w:rFonts w:ascii="Arial" w:hAnsi="Arial" w:cs="Arial"/>
          <w:b/>
          <w:bCs/>
          <w:sz w:val="20"/>
          <w:szCs w:val="20"/>
        </w:rPr>
      </w:pPr>
      <w:r w:rsidRPr="00162A1D">
        <w:rPr>
          <w:rFonts w:ascii="Arial" w:hAnsi="Arial" w:cs="Arial"/>
          <w:b/>
          <w:bCs/>
          <w:sz w:val="20"/>
          <w:szCs w:val="20"/>
        </w:rPr>
        <w:t xml:space="preserve">Do you have any other suggestion on how to improve the response impact on social stability? </w:t>
      </w:r>
    </w:p>
    <w:p w14:paraId="091EAE64" w14:textId="77777777" w:rsidR="007A4AF3" w:rsidRPr="00162A1D" w:rsidRDefault="007A4AF3" w:rsidP="007A4AF3">
      <w:pPr>
        <w:rPr>
          <w:rFonts w:ascii="Arial" w:hAnsi="Arial" w:cs="Arial"/>
          <w:sz w:val="20"/>
          <w:szCs w:val="20"/>
        </w:rPr>
      </w:pPr>
      <w:r w:rsidRPr="00162A1D">
        <w:rPr>
          <w:rFonts w:ascii="Arial" w:hAnsi="Arial" w:cs="Arial"/>
          <w:sz w:val="20"/>
          <w:szCs w:val="20"/>
        </w:rPr>
        <w:t>Respondents have only given minimal number of suggestions that are cited below as direct extract from individual responses.</w:t>
      </w:r>
    </w:p>
    <w:p w14:paraId="7914F024" w14:textId="77777777" w:rsidR="007A4AF3" w:rsidRPr="00162A1D" w:rsidRDefault="007A4AF3" w:rsidP="007A4AF3">
      <w:pPr>
        <w:numPr>
          <w:ilvl w:val="0"/>
          <w:numId w:val="5"/>
        </w:numPr>
        <w:spacing w:after="0"/>
        <w:jc w:val="both"/>
        <w:rPr>
          <w:rFonts w:ascii="Arial" w:hAnsi="Arial" w:cs="Arial"/>
          <w:sz w:val="20"/>
          <w:szCs w:val="20"/>
        </w:rPr>
      </w:pPr>
      <w:r w:rsidRPr="00162A1D">
        <w:rPr>
          <w:rFonts w:ascii="Arial" w:hAnsi="Arial" w:cs="Arial"/>
          <w:sz w:val="20"/>
          <w:szCs w:val="20"/>
        </w:rPr>
        <w:t>Find durable solutions for the refugees; Integration is not well received and perceived by the Lebanese community.</w:t>
      </w:r>
    </w:p>
    <w:p w14:paraId="334D8FA9" w14:textId="77777777" w:rsidR="007A4AF3" w:rsidRPr="00162A1D" w:rsidRDefault="007A4AF3" w:rsidP="007A4AF3">
      <w:pPr>
        <w:numPr>
          <w:ilvl w:val="0"/>
          <w:numId w:val="5"/>
        </w:numPr>
        <w:spacing w:after="0"/>
        <w:jc w:val="both"/>
        <w:rPr>
          <w:rFonts w:ascii="Arial" w:hAnsi="Arial" w:cs="Arial"/>
          <w:sz w:val="20"/>
          <w:szCs w:val="20"/>
        </w:rPr>
      </w:pPr>
      <w:r w:rsidRPr="00162A1D">
        <w:rPr>
          <w:rFonts w:ascii="Arial" w:hAnsi="Arial" w:cs="Arial"/>
          <w:sz w:val="20"/>
          <w:szCs w:val="20"/>
        </w:rPr>
        <w:t xml:space="preserve">Share the work that the central level wg and leads are doing, what progress is being made, what are the challenges? </w:t>
      </w:r>
    </w:p>
    <w:p w14:paraId="418D2687" w14:textId="77777777" w:rsidR="007A4AF3" w:rsidRPr="00162A1D" w:rsidRDefault="007A4AF3" w:rsidP="007A4AF3">
      <w:pPr>
        <w:numPr>
          <w:ilvl w:val="0"/>
          <w:numId w:val="5"/>
        </w:numPr>
        <w:spacing w:after="0"/>
        <w:jc w:val="both"/>
        <w:rPr>
          <w:rFonts w:ascii="Arial" w:hAnsi="Arial" w:cs="Arial"/>
          <w:sz w:val="20"/>
          <w:szCs w:val="20"/>
        </w:rPr>
      </w:pPr>
      <w:r w:rsidRPr="00162A1D">
        <w:rPr>
          <w:rFonts w:ascii="Arial" w:hAnsi="Arial" w:cs="Arial"/>
          <w:sz w:val="20"/>
          <w:szCs w:val="20"/>
        </w:rPr>
        <w:t>Explore possibilities on influencing changes in policy that would help in the Social Stability process.</w:t>
      </w:r>
    </w:p>
    <w:p w14:paraId="1704D0B2" w14:textId="28E012DE" w:rsidR="007A4AF3" w:rsidRPr="00162A1D" w:rsidRDefault="007A4AF3">
      <w:pPr>
        <w:rPr>
          <w:rFonts w:ascii="Arial" w:hAnsi="Arial" w:cs="Arial"/>
          <w:sz w:val="20"/>
          <w:szCs w:val="20"/>
        </w:rPr>
      </w:pPr>
      <w:r w:rsidRPr="00162A1D">
        <w:rPr>
          <w:rFonts w:ascii="Arial" w:hAnsi="Arial" w:cs="Arial"/>
          <w:sz w:val="20"/>
          <w:szCs w:val="20"/>
        </w:rPr>
        <w:br w:type="page"/>
      </w:r>
    </w:p>
    <w:p w14:paraId="030528E7" w14:textId="77777777" w:rsidR="007A4AF3" w:rsidRPr="00162A1D" w:rsidRDefault="007A4AF3" w:rsidP="007A4AF3">
      <w:pPr>
        <w:jc w:val="center"/>
        <w:rPr>
          <w:rFonts w:ascii="Arial" w:hAnsi="Arial" w:cs="Arial"/>
          <w:b/>
          <w:sz w:val="20"/>
          <w:szCs w:val="20"/>
          <w:shd w:val="clear" w:color="auto" w:fill="FFFFFF"/>
          <w:lang w:val="en-GB"/>
        </w:rPr>
      </w:pPr>
      <w:r w:rsidRPr="00162A1D">
        <w:rPr>
          <w:rFonts w:ascii="Arial" w:hAnsi="Arial" w:cs="Arial"/>
          <w:b/>
          <w:sz w:val="20"/>
          <w:szCs w:val="20"/>
          <w:shd w:val="clear" w:color="auto" w:fill="FFFFFF"/>
          <w:lang w:val="en-GB"/>
        </w:rPr>
        <w:lastRenderedPageBreak/>
        <w:t>Basic Assistance: 24 organisations</w:t>
      </w:r>
    </w:p>
    <w:p w14:paraId="77FED1F9"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Strongest sectoral overlaps: Protection (16) Livelihoods (16) and Social Stability (16)</w:t>
      </w:r>
    </w:p>
    <w:p w14:paraId="05CA362C"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11 of these have appealed under Social Stability in the LCRP and a further 10 are implementing projects which indirectly contribute to social stability</w:t>
      </w:r>
    </w:p>
    <w:p w14:paraId="398CF201"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Knowledge of conflict issues</w:t>
      </w:r>
    </w:p>
    <w:p w14:paraId="6F2CD6CB"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On a scale from 1 to 5, how do you rate your knowledge on the following aspects of conflict/social stability analysis (from 1- no specific knowledge to 5- advanced knowledge):  </w:t>
      </w:r>
    </w:p>
    <w:p w14:paraId="2639200F"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740D834D" wp14:editId="45731E67">
            <wp:extent cx="4967287" cy="2743200"/>
            <wp:effectExtent l="0" t="0" r="24130" b="19050"/>
            <wp:docPr id="2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88FB218" w14:textId="77777777" w:rsidR="007A4AF3" w:rsidRPr="00162A1D" w:rsidRDefault="007A4AF3" w:rsidP="007A4AF3">
      <w:pPr>
        <w:rPr>
          <w:rFonts w:ascii="Arial" w:hAnsi="Arial" w:cs="Arial"/>
          <w:i/>
          <w:iCs/>
          <w:sz w:val="20"/>
          <w:szCs w:val="20"/>
          <w:shd w:val="clear" w:color="auto" w:fill="FFFFFF"/>
          <w:lang w:val="en-GB"/>
        </w:rPr>
      </w:pPr>
      <w:r w:rsidRPr="00162A1D">
        <w:rPr>
          <w:rFonts w:ascii="Arial" w:hAnsi="Arial" w:cs="Arial"/>
          <w:i/>
          <w:iCs/>
          <w:sz w:val="20"/>
          <w:szCs w:val="20"/>
          <w:shd w:val="clear" w:color="auto" w:fill="FFFFFF"/>
          <w:lang w:val="en-GB"/>
        </w:rPr>
        <w:t>Weakest areas of knowledge are in the structural causes of conflicts in Lebanon and the impact of international assistance on causes of tensions</w:t>
      </w:r>
    </w:p>
    <w:p w14:paraId="3BB029F8"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Contribution to social stability </w:t>
      </w:r>
    </w:p>
    <w:p w14:paraId="7046F49E" w14:textId="77777777" w:rsidR="007A4AF3" w:rsidRPr="00162A1D" w:rsidRDefault="007A4AF3" w:rsidP="007A4AF3">
      <w:p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14/24 consider that their organisation’s programs in Lebanon contribute to social stability</w:t>
      </w:r>
    </w:p>
    <w:p w14:paraId="6D235652" w14:textId="77777777" w:rsidR="007A4AF3" w:rsidRPr="00162A1D" w:rsidRDefault="007A4AF3" w:rsidP="007A4AF3">
      <w:pPr>
        <w:jc w:val="both"/>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6C6231F4" wp14:editId="4C17ACB3">
            <wp:extent cx="5692140" cy="2286000"/>
            <wp:effectExtent l="0" t="0" r="22860" b="25400"/>
            <wp:docPr id="2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FB36A9E" w14:textId="77777777" w:rsidR="007A4AF3" w:rsidRPr="00162A1D" w:rsidRDefault="007A4AF3" w:rsidP="007A4AF3">
      <w:pPr>
        <w:jc w:val="both"/>
        <w:rPr>
          <w:rFonts w:ascii="Arial" w:hAnsi="Arial" w:cs="Arial"/>
          <w:i/>
          <w:iCs/>
          <w:sz w:val="20"/>
          <w:szCs w:val="20"/>
          <w:shd w:val="clear" w:color="auto" w:fill="FFFFFF"/>
          <w:lang w:val="en-GB"/>
        </w:rPr>
      </w:pPr>
      <w:r w:rsidRPr="00162A1D">
        <w:rPr>
          <w:rFonts w:ascii="Arial" w:hAnsi="Arial" w:cs="Arial"/>
          <w:i/>
          <w:iCs/>
          <w:sz w:val="20"/>
          <w:szCs w:val="20"/>
          <w:shd w:val="clear" w:color="auto" w:fill="FFFFFF"/>
          <w:lang w:val="en-GB"/>
        </w:rPr>
        <w:lastRenderedPageBreak/>
        <w:t>Most BA agencies consider their programs contribute to Social Stability through bringing different communities together or through strengthening the role of local institutions and authorities. It is not surprising that the least common response was that programs target host communities as well as refugees, given that multipurpose cash grants are a large part of the BA sector’s activities and given the GoL has not condoned such grants to Lebanese.</w:t>
      </w:r>
    </w:p>
    <w:p w14:paraId="210E1FB8"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Work with Public Institutions </w:t>
      </w:r>
    </w:p>
    <w:p w14:paraId="35E3941C" w14:textId="77777777" w:rsidR="007A4AF3" w:rsidRPr="00162A1D" w:rsidRDefault="007A4AF3" w:rsidP="007A4AF3">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Average: </w:t>
      </w:r>
      <w:r w:rsidRPr="00162A1D">
        <w:rPr>
          <w:rFonts w:ascii="Arial" w:eastAsia="Times New Roman" w:hAnsi="Arial" w:cs="Arial"/>
          <w:b/>
          <w:bCs/>
          <w:sz w:val="20"/>
          <w:szCs w:val="20"/>
          <w:lang w:val="en-GB"/>
        </w:rPr>
        <w:t>2.64</w:t>
      </w:r>
    </w:p>
    <w:p w14:paraId="76B5CDD6" w14:textId="77777777" w:rsidR="007A4AF3" w:rsidRPr="00162A1D" w:rsidRDefault="007A4AF3" w:rsidP="007A4AF3">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Highest: </w:t>
      </w:r>
      <w:r w:rsidRPr="00162A1D">
        <w:rPr>
          <w:rFonts w:ascii="Arial" w:eastAsia="Times New Roman" w:hAnsi="Arial" w:cs="Arial"/>
          <w:b/>
          <w:bCs/>
          <w:sz w:val="20"/>
          <w:szCs w:val="20"/>
          <w:lang w:val="en-GB"/>
        </w:rPr>
        <w:t>4.00 for Municipalities</w:t>
      </w:r>
    </w:p>
    <w:p w14:paraId="086A177B" w14:textId="434938AD" w:rsidR="007A4AF3" w:rsidRPr="00162A1D" w:rsidRDefault="007A4AF3" w:rsidP="007A4AF3">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Lowest: </w:t>
      </w:r>
      <w:r w:rsidRPr="00162A1D">
        <w:rPr>
          <w:rFonts w:ascii="Arial" w:eastAsia="Times New Roman" w:hAnsi="Arial" w:cs="Arial"/>
          <w:b/>
          <w:bCs/>
          <w:sz w:val="20"/>
          <w:szCs w:val="20"/>
          <w:lang w:val="en-GB"/>
        </w:rPr>
        <w:t>2.18 for Primary/Secondary Health Care Centers</w:t>
      </w:r>
    </w:p>
    <w:p w14:paraId="69136DA6"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Conflict Sensitivity mechanisms  </w:t>
      </w:r>
    </w:p>
    <w:p w14:paraId="3D3077B3" w14:textId="6B102308"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9/24 have internal mechanism(s) in house to make sure their programs are conflict sensitive</w:t>
      </w:r>
    </w:p>
    <w:p w14:paraId="076CDB6F"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Training and guidance needs and suggestions </w:t>
      </w:r>
    </w:p>
    <w:p w14:paraId="762AD6C9"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Training needs: How useful would the following trainings be to increase your organizations’ contribution to social stability? (1- not useful, 5 very useful)</w:t>
      </w:r>
    </w:p>
    <w:p w14:paraId="647ED654"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79F445E8" wp14:editId="5D4EA162">
            <wp:extent cx="4549140" cy="1530350"/>
            <wp:effectExtent l="0" t="0" r="22860" b="19050"/>
            <wp:docPr id="2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0F13159" w14:textId="77777777" w:rsidR="007A4AF3" w:rsidRPr="00162A1D" w:rsidRDefault="007A4AF3" w:rsidP="007A4AF3">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What other type of support from the social stability sector would be useful to increase your organization’s contribution to social stability? (1- not useful, 5- very useful)</w:t>
      </w:r>
    </w:p>
    <w:p w14:paraId="6FFF258E" w14:textId="77777777" w:rsidR="007A4AF3" w:rsidRPr="00162A1D" w:rsidRDefault="007A4AF3" w:rsidP="007A4AF3">
      <w:pPr>
        <w:rPr>
          <w:rFonts w:ascii="Arial" w:hAnsi="Arial" w:cs="Arial"/>
          <w:sz w:val="20"/>
          <w:szCs w:val="20"/>
          <w:lang w:val="en-GB"/>
        </w:rPr>
      </w:pPr>
      <w:r w:rsidRPr="00162A1D">
        <w:rPr>
          <w:rFonts w:ascii="Arial" w:hAnsi="Arial" w:cs="Arial"/>
          <w:noProof/>
          <w:sz w:val="20"/>
          <w:szCs w:val="20"/>
        </w:rPr>
        <w:drawing>
          <wp:inline distT="0" distB="0" distL="0" distR="0" wp14:anchorId="21EB8ECC" wp14:editId="449CC684">
            <wp:extent cx="6534150" cy="2076450"/>
            <wp:effectExtent l="0" t="0" r="19050" b="31750"/>
            <wp:docPr id="30"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A50AD1A" w14:textId="77777777" w:rsidR="007A4AF3" w:rsidRPr="00162A1D" w:rsidRDefault="007A4AF3" w:rsidP="007A4AF3">
      <w:pPr>
        <w:rPr>
          <w:rFonts w:ascii="Arial" w:hAnsi="Arial" w:cs="Arial"/>
          <w:i/>
          <w:iCs/>
          <w:sz w:val="20"/>
          <w:szCs w:val="20"/>
          <w:lang w:val="en-GB"/>
        </w:rPr>
      </w:pPr>
      <w:r w:rsidRPr="00162A1D">
        <w:rPr>
          <w:rFonts w:ascii="Arial" w:hAnsi="Arial" w:cs="Arial"/>
          <w:i/>
          <w:iCs/>
          <w:sz w:val="20"/>
          <w:szCs w:val="20"/>
          <w:lang w:val="en-GB"/>
        </w:rPr>
        <w:t xml:space="preserve">Agencies from the BA sector reported that their priority to facilitate contribution to social stability is in establishing best practices/ lessons learnt /dos&amp;don’ts on social stability </w:t>
      </w:r>
    </w:p>
    <w:p w14:paraId="6B6F2433" w14:textId="77777777" w:rsidR="001C1D68" w:rsidRPr="00162A1D" w:rsidRDefault="001C1D68" w:rsidP="00EE3A01">
      <w:pPr>
        <w:jc w:val="center"/>
        <w:rPr>
          <w:rFonts w:ascii="Arial" w:hAnsi="Arial" w:cs="Arial"/>
          <w:b/>
          <w:sz w:val="20"/>
          <w:szCs w:val="20"/>
          <w:shd w:val="clear" w:color="auto" w:fill="FFFFFF"/>
          <w:lang w:val="en-GB"/>
        </w:rPr>
      </w:pPr>
      <w:r w:rsidRPr="00162A1D">
        <w:rPr>
          <w:rFonts w:ascii="Arial" w:hAnsi="Arial" w:cs="Arial"/>
          <w:b/>
          <w:sz w:val="20"/>
          <w:szCs w:val="20"/>
          <w:shd w:val="clear" w:color="auto" w:fill="FFFFFF"/>
          <w:lang w:val="en-GB"/>
        </w:rPr>
        <w:lastRenderedPageBreak/>
        <w:t>Shelter sector: 17 organisations</w:t>
      </w:r>
    </w:p>
    <w:p w14:paraId="21CCBA3C"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Strongest sectoral overlaps: WASH (16) and Social Stability (12)</w:t>
      </w:r>
    </w:p>
    <w:p w14:paraId="46114406"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9 of these are appealing under the Social Stability sector in the LCRP and a further 7 are implementing projects that indirectly contribute to social stability</w:t>
      </w:r>
    </w:p>
    <w:p w14:paraId="1F6B64D0" w14:textId="77777777" w:rsidR="001C1D68" w:rsidRPr="00162A1D" w:rsidRDefault="001C1D68" w:rsidP="001C1D68">
      <w:pPr>
        <w:rPr>
          <w:rFonts w:ascii="Arial" w:hAnsi="Arial" w:cs="Arial"/>
          <w:noProof/>
          <w:sz w:val="20"/>
          <w:szCs w:val="20"/>
        </w:rPr>
      </w:pPr>
      <w:r w:rsidRPr="00162A1D">
        <w:rPr>
          <w:rFonts w:ascii="Arial" w:hAnsi="Arial" w:cs="Arial"/>
          <w:sz w:val="20"/>
          <w:szCs w:val="20"/>
          <w:shd w:val="clear" w:color="auto" w:fill="FFFFFF"/>
          <w:lang w:val="en-GB"/>
        </w:rPr>
        <w:t xml:space="preserve">Knowledge of conflict issue </w:t>
      </w:r>
    </w:p>
    <w:p w14:paraId="76072FBD"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135F4BA2" wp14:editId="49E53B46">
            <wp:extent cx="5024437" cy="2743200"/>
            <wp:effectExtent l="0" t="0" r="24130" b="19050"/>
            <wp:docPr id="3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CBF5E00"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Contribution to social stability </w:t>
      </w:r>
    </w:p>
    <w:p w14:paraId="2485CEB0" w14:textId="77777777" w:rsidR="001C1D68" w:rsidRPr="00162A1D" w:rsidRDefault="001C1D68" w:rsidP="001C1D68">
      <w:p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11/17 consider that their organisation’s programs in Lebanon contribute to social stability</w:t>
      </w:r>
    </w:p>
    <w:p w14:paraId="3C57019E" w14:textId="77777777" w:rsidR="001C1D68" w:rsidRPr="00162A1D" w:rsidRDefault="001C1D68" w:rsidP="001C1D68">
      <w:pPr>
        <w:jc w:val="both"/>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7A1FD9D2" wp14:editId="4FB605DB">
            <wp:extent cx="5314315" cy="2235200"/>
            <wp:effectExtent l="0" t="0" r="19685" b="25400"/>
            <wp:docPr id="3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DE1CC29"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Work with Public Institutions </w:t>
      </w:r>
    </w:p>
    <w:p w14:paraId="0A62406D" w14:textId="77777777" w:rsidR="001C1D68" w:rsidRPr="00162A1D" w:rsidRDefault="001C1D68" w:rsidP="001C1D68">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Average: </w:t>
      </w:r>
      <w:r w:rsidRPr="00162A1D">
        <w:rPr>
          <w:rFonts w:ascii="Arial" w:eastAsia="Times New Roman" w:hAnsi="Arial" w:cs="Arial"/>
          <w:b/>
          <w:bCs/>
          <w:sz w:val="20"/>
          <w:szCs w:val="20"/>
          <w:lang w:val="en-GB"/>
        </w:rPr>
        <w:t>3.24</w:t>
      </w:r>
    </w:p>
    <w:p w14:paraId="764E4F11" w14:textId="77777777" w:rsidR="001C1D68" w:rsidRPr="00162A1D" w:rsidRDefault="001C1D68" w:rsidP="001C1D68">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t xml:space="preserve">Highest: </w:t>
      </w:r>
      <w:r w:rsidRPr="00162A1D">
        <w:rPr>
          <w:rFonts w:ascii="Arial" w:eastAsia="Times New Roman" w:hAnsi="Arial" w:cs="Arial"/>
          <w:b/>
          <w:bCs/>
          <w:sz w:val="20"/>
          <w:szCs w:val="20"/>
          <w:lang w:val="en-GB"/>
        </w:rPr>
        <w:t>4.5 for Municipalities</w:t>
      </w:r>
    </w:p>
    <w:p w14:paraId="5F6D0B31" w14:textId="10DC3BF0" w:rsidR="001C1D68" w:rsidRPr="00162A1D" w:rsidRDefault="001C1D68" w:rsidP="001C1D68">
      <w:pPr>
        <w:rPr>
          <w:rFonts w:ascii="Arial" w:eastAsia="Times New Roman" w:hAnsi="Arial" w:cs="Arial"/>
          <w:b/>
          <w:bCs/>
          <w:sz w:val="20"/>
          <w:szCs w:val="20"/>
          <w:lang w:val="en-GB"/>
        </w:rPr>
      </w:pPr>
      <w:r w:rsidRPr="00162A1D">
        <w:rPr>
          <w:rFonts w:ascii="Arial" w:hAnsi="Arial" w:cs="Arial"/>
          <w:sz w:val="20"/>
          <w:szCs w:val="20"/>
          <w:shd w:val="clear" w:color="auto" w:fill="FFFFFF"/>
          <w:lang w:val="en-GB"/>
        </w:rPr>
        <w:lastRenderedPageBreak/>
        <w:t xml:space="preserve">Lowest: </w:t>
      </w:r>
      <w:r w:rsidRPr="00162A1D">
        <w:rPr>
          <w:rFonts w:ascii="Arial" w:eastAsia="Times New Roman" w:hAnsi="Arial" w:cs="Arial"/>
          <w:b/>
          <w:bCs/>
          <w:sz w:val="20"/>
          <w:szCs w:val="20"/>
          <w:lang w:val="en-GB"/>
        </w:rPr>
        <w:t>2.36 for Primar</w:t>
      </w:r>
      <w:r w:rsidR="00EE3A01" w:rsidRPr="00162A1D">
        <w:rPr>
          <w:rFonts w:ascii="Arial" w:eastAsia="Times New Roman" w:hAnsi="Arial" w:cs="Arial"/>
          <w:b/>
          <w:bCs/>
          <w:sz w:val="20"/>
          <w:szCs w:val="20"/>
          <w:lang w:val="en-GB"/>
        </w:rPr>
        <w:t>y/Secondary Health Care Centers</w:t>
      </w:r>
    </w:p>
    <w:p w14:paraId="755350EE"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Conflict Sensitivity mechanisms  </w:t>
      </w:r>
    </w:p>
    <w:p w14:paraId="05F71898" w14:textId="7BA76CAF" w:rsidR="001C1D68" w:rsidRPr="00162A1D" w:rsidRDefault="001C1D68" w:rsidP="001C1D68">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3/17 have internal mechanism(s) in house to make sure their programs are conflict sensitive – only 18% versus th</w:t>
      </w:r>
      <w:r w:rsidR="00EE3A01" w:rsidRPr="00162A1D">
        <w:rPr>
          <w:rFonts w:ascii="Arial" w:hAnsi="Arial" w:cs="Arial"/>
          <w:sz w:val="20"/>
          <w:szCs w:val="20"/>
          <w:shd w:val="clear" w:color="auto" w:fill="FFFFFF"/>
          <w:lang w:val="en-GB"/>
        </w:rPr>
        <w:t>e average across sectors of 60%</w:t>
      </w:r>
    </w:p>
    <w:p w14:paraId="73773610"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Training and guidance needs and suggestions </w:t>
      </w:r>
    </w:p>
    <w:p w14:paraId="3F620284"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Training needs: How useful would the following trainings be to increase your organizations’ contribution to social stability? (1- not useful, 5 very useful)</w:t>
      </w:r>
    </w:p>
    <w:p w14:paraId="2E0761CA"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626D1F96" wp14:editId="0F61A7BE">
            <wp:extent cx="5153024" cy="2428875"/>
            <wp:effectExtent l="0" t="0" r="10160" b="9525"/>
            <wp:docPr id="3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C3F4212" w14:textId="77777777" w:rsidR="001C1D68" w:rsidRPr="00162A1D" w:rsidRDefault="001C1D68" w:rsidP="001C1D68">
      <w:pPr>
        <w:rPr>
          <w:rFonts w:ascii="Arial" w:hAnsi="Arial" w:cs="Arial"/>
          <w:i/>
          <w:iCs/>
          <w:sz w:val="20"/>
          <w:szCs w:val="20"/>
          <w:shd w:val="clear" w:color="auto" w:fill="FFFFFF"/>
          <w:lang w:val="en-GB"/>
        </w:rPr>
      </w:pPr>
      <w:r w:rsidRPr="00162A1D">
        <w:rPr>
          <w:rFonts w:ascii="Arial" w:hAnsi="Arial" w:cs="Arial"/>
          <w:i/>
          <w:iCs/>
          <w:sz w:val="20"/>
          <w:szCs w:val="20"/>
          <w:shd w:val="clear" w:color="auto" w:fill="FFFFFF"/>
          <w:lang w:val="en-GB"/>
        </w:rPr>
        <w:t>Conflict sensitive programming is the most interesting training subject for actors active in the shelter sector</w:t>
      </w:r>
    </w:p>
    <w:p w14:paraId="51D69583" w14:textId="77777777" w:rsidR="001C1D68" w:rsidRPr="00162A1D" w:rsidRDefault="001C1D68" w:rsidP="001C1D68">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What other type of support from the social stability sector would be useful to increase your organization’s contribution to social stability? (1- not useful, 5- very useful)</w:t>
      </w:r>
    </w:p>
    <w:p w14:paraId="3032AEDD" w14:textId="77777777" w:rsidR="001C1D68" w:rsidRPr="00162A1D" w:rsidRDefault="001C1D68" w:rsidP="001C1D68">
      <w:pPr>
        <w:rPr>
          <w:rFonts w:ascii="Arial" w:hAnsi="Arial" w:cs="Arial"/>
          <w:sz w:val="20"/>
          <w:szCs w:val="20"/>
          <w:lang w:val="en-GB"/>
        </w:rPr>
      </w:pPr>
      <w:r w:rsidRPr="00162A1D">
        <w:rPr>
          <w:rFonts w:ascii="Arial" w:hAnsi="Arial" w:cs="Arial"/>
          <w:noProof/>
          <w:sz w:val="20"/>
          <w:szCs w:val="20"/>
        </w:rPr>
        <w:drawing>
          <wp:inline distT="0" distB="0" distL="0" distR="0" wp14:anchorId="306CED3B" wp14:editId="0A7CE2D8">
            <wp:extent cx="5943600" cy="1937385"/>
            <wp:effectExtent l="0" t="0" r="25400" b="18415"/>
            <wp:docPr id="34"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36B19D2" w14:textId="77777777" w:rsidR="001C1D68" w:rsidRPr="00162A1D" w:rsidRDefault="001C1D68" w:rsidP="001C1D68">
      <w:pPr>
        <w:rPr>
          <w:rFonts w:ascii="Arial" w:hAnsi="Arial" w:cs="Arial"/>
          <w:i/>
          <w:iCs/>
          <w:sz w:val="20"/>
          <w:szCs w:val="20"/>
          <w:lang w:val="en-GB"/>
        </w:rPr>
      </w:pPr>
      <w:r w:rsidRPr="00162A1D">
        <w:rPr>
          <w:rFonts w:ascii="Arial" w:hAnsi="Arial" w:cs="Arial"/>
          <w:i/>
          <w:iCs/>
          <w:sz w:val="20"/>
          <w:szCs w:val="20"/>
          <w:lang w:val="en-GB"/>
        </w:rPr>
        <w:t xml:space="preserve">Agencies from the Shelter sector sector reported that their priority to facilitate contribution to social stability is in establishing best practices/ lessons learnt /dos&amp;don’ts on social stability, with joint sectoral working groups also highlighted as an important means. </w:t>
      </w:r>
    </w:p>
    <w:p w14:paraId="5ECA5658" w14:textId="77777777" w:rsidR="001C1D68" w:rsidRPr="00162A1D" w:rsidRDefault="001C1D68" w:rsidP="001C1D68">
      <w:pPr>
        <w:rPr>
          <w:rFonts w:ascii="Arial" w:hAnsi="Arial" w:cs="Arial"/>
          <w:sz w:val="20"/>
          <w:szCs w:val="20"/>
          <w:lang w:val="en-GB"/>
        </w:rPr>
      </w:pPr>
    </w:p>
    <w:p w14:paraId="3740A86A" w14:textId="77777777" w:rsidR="007A4AF3" w:rsidRPr="00162A1D" w:rsidRDefault="007A4AF3" w:rsidP="007A4AF3">
      <w:pPr>
        <w:rPr>
          <w:rFonts w:ascii="Arial" w:hAnsi="Arial" w:cs="Arial"/>
          <w:sz w:val="20"/>
          <w:szCs w:val="20"/>
        </w:rPr>
      </w:pPr>
    </w:p>
    <w:p w14:paraId="75315E6D" w14:textId="41323B9B" w:rsidR="00EE3A01" w:rsidRPr="00162A1D" w:rsidRDefault="00E348D7" w:rsidP="00EE3A01">
      <w:pPr>
        <w:pStyle w:val="Heading1"/>
        <w:jc w:val="center"/>
        <w:rPr>
          <w:rFonts w:ascii="Arial" w:hAnsi="Arial" w:cs="Arial"/>
          <w:b/>
          <w:color w:val="auto"/>
          <w:sz w:val="20"/>
          <w:szCs w:val="20"/>
          <w:shd w:val="clear" w:color="auto" w:fill="FFFFFF"/>
          <w:lang w:val="en-GB"/>
        </w:rPr>
      </w:pPr>
      <w:r>
        <w:rPr>
          <w:rFonts w:ascii="Arial" w:hAnsi="Arial" w:cs="Arial"/>
          <w:b/>
          <w:color w:val="auto"/>
          <w:sz w:val="20"/>
          <w:szCs w:val="20"/>
          <w:shd w:val="clear" w:color="auto" w:fill="FFFFFF"/>
          <w:lang w:val="en-GB"/>
        </w:rPr>
        <w:t>H</w:t>
      </w:r>
      <w:r w:rsidR="00EE3A01" w:rsidRPr="00162A1D">
        <w:rPr>
          <w:rFonts w:ascii="Arial" w:hAnsi="Arial" w:cs="Arial"/>
          <w:b/>
          <w:color w:val="auto"/>
          <w:sz w:val="20"/>
          <w:szCs w:val="20"/>
          <w:shd w:val="clear" w:color="auto" w:fill="FFFFFF"/>
          <w:lang w:val="en-GB"/>
        </w:rPr>
        <w:t>ealth sector</w:t>
      </w:r>
    </w:p>
    <w:p w14:paraId="53B5998F"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Number of respondents in the health sector: 18</w:t>
      </w:r>
    </w:p>
    <w:p w14:paraId="1EBA28E5"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Organisations appealing under Social Stability or engaged in social stability programming: 11/18</w:t>
      </w:r>
    </w:p>
    <w:p w14:paraId="0EBD17DD" w14:textId="0BBA18F0" w:rsidR="00EE3A01" w:rsidRPr="00162A1D" w:rsidRDefault="00EE3A01" w:rsidP="00EE3A01">
      <w:pPr>
        <w:pStyle w:val="Heading2"/>
        <w:rPr>
          <w:color w:val="auto"/>
          <w:sz w:val="20"/>
          <w:szCs w:val="20"/>
        </w:rPr>
      </w:pPr>
      <w:r w:rsidRPr="00162A1D">
        <w:rPr>
          <w:color w:val="auto"/>
          <w:sz w:val="20"/>
          <w:szCs w:val="20"/>
        </w:rPr>
        <w:t>Other sectors covered by respondents working in the health sector</w:t>
      </w:r>
    </w:p>
    <w:p w14:paraId="074927D2"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13 of the respondents claim social stability is a sector of their operation; while only 11 indicated they were appealing under the social stability sector or implementing social stability programmes.</w:t>
      </w:r>
    </w:p>
    <w:p w14:paraId="1C894F0D"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Most respondents are active in multiple sectors. INGO respondents are active on average in 7.25 sectors, including health (ranging between 4 and 9 sectors), while local NGOs are active in 7.88 sectors on average (lowest: 5, highest: 11).</w:t>
      </w:r>
    </w:p>
    <w:p w14:paraId="5AAA5C32"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Half of the respondents, 9/18, work on both central and local level. 3/18 actors work only at the national level, and 6/18 work only at the local level. The most common areas of operation is Beirut/ Mount Lebanon with 14 out of 15 respondents with local operation working in this region. </w:t>
      </w:r>
    </w:p>
    <w:p w14:paraId="2CAECD6A" w14:textId="77777777" w:rsidR="00EE3A01" w:rsidRPr="00162A1D" w:rsidRDefault="00EE3A01" w:rsidP="00EE3A01">
      <w:pPr>
        <w:pStyle w:val="Heading2"/>
        <w:rPr>
          <w:color w:val="auto"/>
          <w:sz w:val="20"/>
          <w:szCs w:val="20"/>
        </w:rPr>
      </w:pPr>
      <w:r w:rsidRPr="00162A1D">
        <w:rPr>
          <w:color w:val="auto"/>
          <w:sz w:val="20"/>
          <w:szCs w:val="20"/>
        </w:rPr>
        <w:t>Knowledge of conflict/ social stability analysis</w:t>
      </w:r>
    </w:p>
    <w:p w14:paraId="490B1D98"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047EECDF" wp14:editId="0961715B">
            <wp:extent cx="5943600" cy="1917700"/>
            <wp:effectExtent l="0" t="0" r="25400" b="12700"/>
            <wp:docPr id="3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A7B3200"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Respondents are most comfortable with their knowledge of tensions between host communities and refugees. The topics respondents are least familiar with are the perception of international assistance by communities and beneficiaries, and conflict triggers and potential causes for violence. </w:t>
      </w:r>
    </w:p>
    <w:p w14:paraId="13EE7E11" w14:textId="01B1C8DD"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Only 2/18 respondents provide suggestions for dissemination of information and analysis on conflict and social stability. One of those respondents believes the problem is with the content and not the dissemination; the other respondent suggests email distribut</w:t>
      </w:r>
      <w:r w:rsidR="00E348D7">
        <w:rPr>
          <w:rFonts w:ascii="Arial" w:hAnsi="Arial" w:cs="Arial"/>
          <w:sz w:val="20"/>
          <w:szCs w:val="20"/>
          <w:shd w:val="clear" w:color="auto" w:fill="FFFFFF"/>
          <w:lang w:val="en-GB"/>
        </w:rPr>
        <w:t>ion of reports and assessments.</w:t>
      </w:r>
    </w:p>
    <w:p w14:paraId="3F66FB76" w14:textId="77777777" w:rsidR="00EE3A01" w:rsidRPr="00162A1D" w:rsidRDefault="00EE3A01" w:rsidP="00EE3A01">
      <w:pPr>
        <w:pStyle w:val="Heading2"/>
        <w:rPr>
          <w:color w:val="auto"/>
          <w:sz w:val="20"/>
          <w:szCs w:val="20"/>
        </w:rPr>
      </w:pPr>
      <w:r w:rsidRPr="00162A1D">
        <w:rPr>
          <w:color w:val="auto"/>
          <w:sz w:val="20"/>
          <w:szCs w:val="20"/>
        </w:rPr>
        <w:lastRenderedPageBreak/>
        <w:t xml:space="preserve">Contribution to social stability </w:t>
      </w:r>
    </w:p>
    <w:p w14:paraId="6CC9BAED" w14:textId="77777777" w:rsidR="00EE3A01" w:rsidRPr="00162A1D" w:rsidRDefault="00EE3A01" w:rsidP="00EE3A01">
      <w:pPr>
        <w:jc w:val="both"/>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2057E031" wp14:editId="76F5A8CA">
            <wp:extent cx="6400800" cy="1193800"/>
            <wp:effectExtent l="0" t="0" r="25400" b="25400"/>
            <wp:docPr id="3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1A692BB" w14:textId="77777777" w:rsidR="00EE3A01" w:rsidRPr="00162A1D" w:rsidRDefault="00EE3A01" w:rsidP="00EE3A01">
      <w:pPr>
        <w:rPr>
          <w:rFonts w:ascii="Arial" w:hAnsi="Arial" w:cs="Arial"/>
          <w:sz w:val="20"/>
          <w:szCs w:val="20"/>
          <w:u w:val="single"/>
          <w:shd w:val="clear" w:color="auto" w:fill="FFFFFF"/>
          <w:lang w:val="en-GB"/>
        </w:rPr>
      </w:pPr>
      <w:r w:rsidRPr="00162A1D">
        <w:rPr>
          <w:rFonts w:ascii="Arial" w:hAnsi="Arial" w:cs="Arial"/>
          <w:sz w:val="20"/>
          <w:szCs w:val="20"/>
          <w:u w:val="single"/>
          <w:shd w:val="clear" w:color="auto" w:fill="FFFFFF"/>
          <w:lang w:val="en-GB"/>
        </w:rPr>
        <w:t>Type of social stability programmes:</w:t>
      </w:r>
    </w:p>
    <w:p w14:paraId="6E57B339"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11/13 bring members from different communities together as part of our activities and builds trust between and within communities;</w:t>
      </w:r>
    </w:p>
    <w:p w14:paraId="358380C1"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10/13 support the delivery of basic services to decrease tensions related to pressure on basic services;</w:t>
      </w:r>
    </w:p>
    <w:p w14:paraId="10EF3279"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8/13 target host communities as well as refugees</w:t>
      </w:r>
    </w:p>
    <w:p w14:paraId="437014F0"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7/13 contribute to strengthening the role of local institutions and authorities (municipalities, SDCs) to manage the crisis;</w:t>
      </w:r>
    </w:p>
    <w:p w14:paraId="3DE011E1"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5/13 promote social stability values (civic engagement, volunteering, tolerance and peaceful coexistence, conflict mediation and resolution).</w:t>
      </w:r>
    </w:p>
    <w:p w14:paraId="15F6DAF7" w14:textId="77777777" w:rsidR="00EE3A01" w:rsidRPr="00162A1D" w:rsidRDefault="00EE3A01" w:rsidP="00EE3A01">
      <w:pPr>
        <w:pStyle w:val="Heading2"/>
        <w:rPr>
          <w:color w:val="auto"/>
          <w:sz w:val="20"/>
          <w:szCs w:val="20"/>
        </w:rPr>
      </w:pPr>
      <w:r w:rsidRPr="00162A1D">
        <w:rPr>
          <w:color w:val="auto"/>
          <w:sz w:val="20"/>
          <w:szCs w:val="20"/>
        </w:rPr>
        <w:t xml:space="preserve">Work with Public Institutions </w:t>
      </w:r>
    </w:p>
    <w:p w14:paraId="3A3AF439"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13/18 respondents answered this question</w:t>
      </w:r>
    </w:p>
    <w:p w14:paraId="02B7F4EB"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The highest level of engagement in the sector is with primary and secondary healthcare centres (4.00), followed by MOPH and MOSA (equal score of 3.77). Local NGOs report higher level of engagement with public institutions (average 3.6), compared to INGO (average 3.28).</w:t>
      </w:r>
    </w:p>
    <w:p w14:paraId="663B966A" w14:textId="77777777" w:rsidR="00EE3A01" w:rsidRPr="00162A1D" w:rsidRDefault="00EE3A01" w:rsidP="00EE3A01">
      <w:pPr>
        <w:rPr>
          <w:rFonts w:ascii="Arial" w:hAnsi="Arial" w:cs="Arial"/>
          <w:sz w:val="20"/>
          <w:szCs w:val="20"/>
          <w:shd w:val="clear" w:color="auto" w:fill="FFFFFF"/>
          <w:lang w:val="en-GB"/>
        </w:rPr>
      </w:pPr>
    </w:p>
    <w:p w14:paraId="17063F72"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532EF422" wp14:editId="16FB3457">
            <wp:extent cx="4572000" cy="1828800"/>
            <wp:effectExtent l="0" t="0" r="25400" b="25400"/>
            <wp:docPr id="4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65BCC836"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Challenges in working with public institutions include:</w:t>
      </w:r>
    </w:p>
    <w:p w14:paraId="1659AA9E" w14:textId="77777777" w:rsidR="00EE3A01" w:rsidRPr="00162A1D" w:rsidRDefault="00EE3A01" w:rsidP="00EE3A01">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Lack of implementation capacity</w:t>
      </w:r>
    </w:p>
    <w:p w14:paraId="08F33190" w14:textId="77777777" w:rsidR="00EE3A01" w:rsidRPr="00162A1D" w:rsidRDefault="00EE3A01" w:rsidP="00EE3A01">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Lack of clarity on government policies and different interpretation in the different governorates</w:t>
      </w:r>
    </w:p>
    <w:p w14:paraId="74C123B2" w14:textId="77777777" w:rsidR="00EE3A01" w:rsidRPr="00162A1D" w:rsidRDefault="00EE3A01" w:rsidP="00EE3A01">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lastRenderedPageBreak/>
        <w:t>Challenges with access to technical ministries</w:t>
      </w:r>
    </w:p>
    <w:p w14:paraId="30836152" w14:textId="77777777" w:rsidR="00EE3A01" w:rsidRPr="00162A1D" w:rsidRDefault="00EE3A01" w:rsidP="00EE3A01">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No overall strategy for the government to address the crisis; ministries follow their own strategies</w:t>
      </w:r>
    </w:p>
    <w:p w14:paraId="3B3951CB" w14:textId="77777777" w:rsidR="00EE3A01" w:rsidRPr="00162A1D" w:rsidRDefault="00EE3A01" w:rsidP="00EE3A01">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No real coordination between ministries and within the ministries</w:t>
      </w:r>
    </w:p>
    <w:p w14:paraId="24E161EF" w14:textId="634730EA" w:rsidR="00EE3A01" w:rsidRPr="00E348D7" w:rsidRDefault="00EE3A01" w:rsidP="00E348D7">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Decisions are changes frequently and are not unified</w:t>
      </w:r>
    </w:p>
    <w:p w14:paraId="7576DE98" w14:textId="77777777" w:rsidR="00EE3A01" w:rsidRPr="00162A1D" w:rsidRDefault="00EE3A01" w:rsidP="00EE3A01">
      <w:pPr>
        <w:pStyle w:val="Heading2"/>
        <w:rPr>
          <w:color w:val="auto"/>
          <w:sz w:val="20"/>
          <w:szCs w:val="20"/>
        </w:rPr>
      </w:pPr>
      <w:r w:rsidRPr="00162A1D">
        <w:rPr>
          <w:color w:val="auto"/>
          <w:sz w:val="20"/>
          <w:szCs w:val="20"/>
        </w:rPr>
        <w:t xml:space="preserve">Conflict Sensitivity mechanisms  </w:t>
      </w:r>
    </w:p>
    <w:p w14:paraId="6C466613"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214A1EAE" wp14:editId="191CB8E9">
            <wp:extent cx="5829300" cy="1371600"/>
            <wp:effectExtent l="0" t="0" r="12700" b="25400"/>
            <wp:docPr id="4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3C6E6A7"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Only two respondents sites examples of such mechanisms:</w:t>
      </w:r>
    </w:p>
    <w:p w14:paraId="608B8954" w14:textId="77777777" w:rsidR="00EE3A01" w:rsidRPr="00162A1D" w:rsidRDefault="00EE3A01" w:rsidP="00EE3A01">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Integrated review of interventions in line with integrating more and more host communities. Review of services utilisation by different groups in the communities. Extension of need analysis to host communities. Integration of population in some sectors of interventions (shelter, health, psycho-social activities...) (INGO)</w:t>
      </w:r>
    </w:p>
    <w:p w14:paraId="64205499" w14:textId="77777777" w:rsidR="00EE3A01" w:rsidRPr="00162A1D" w:rsidRDefault="00EE3A01" w:rsidP="00EE3A01">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Projects adapted to needs assessments or implemented preventively (local NGO)</w:t>
      </w:r>
    </w:p>
    <w:p w14:paraId="711A1CBA" w14:textId="77777777" w:rsidR="00EE3A01" w:rsidRPr="00162A1D" w:rsidRDefault="00EE3A01" w:rsidP="00EE3A01">
      <w:pPr>
        <w:rPr>
          <w:rFonts w:ascii="Arial" w:hAnsi="Arial" w:cs="Arial"/>
          <w:sz w:val="20"/>
          <w:szCs w:val="20"/>
          <w:u w:val="single"/>
          <w:shd w:val="clear" w:color="auto" w:fill="FFFFFF"/>
          <w:lang w:val="en-GB"/>
        </w:rPr>
      </w:pPr>
      <w:r w:rsidRPr="00162A1D">
        <w:rPr>
          <w:rFonts w:ascii="Arial" w:hAnsi="Arial" w:cs="Arial"/>
          <w:sz w:val="20"/>
          <w:szCs w:val="20"/>
          <w:u w:val="single"/>
          <w:shd w:val="clear" w:color="auto" w:fill="FFFFFF"/>
          <w:lang w:val="en-GB"/>
        </w:rPr>
        <w:t xml:space="preserve">Training and guidance needs and suggestions </w:t>
      </w:r>
    </w:p>
    <w:p w14:paraId="11CD02EF"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Only 10 out of 18 respondents answered the question on training needs. Highest interest was shown for training in conflict analysis (average 3.8) and conflict sensitive programming (average 3.7). On the question on other support needs, there was biggest interest in best practices and lessons learnt (average 3.5), followed by guidelines on conducting participatory processes at the local level (average 3.2).</w:t>
      </w:r>
    </w:p>
    <w:p w14:paraId="00F64BF1"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7AE6C058" wp14:editId="665AE08E">
            <wp:extent cx="5943600" cy="1943100"/>
            <wp:effectExtent l="0" t="0" r="25400" b="12700"/>
            <wp:docPr id="4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3CC0A1C"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noProof/>
          <w:sz w:val="20"/>
          <w:szCs w:val="20"/>
        </w:rPr>
        <w:lastRenderedPageBreak/>
        <w:drawing>
          <wp:inline distT="0" distB="0" distL="0" distR="0" wp14:anchorId="6E22C214" wp14:editId="3D5C2DBE">
            <wp:extent cx="5419725" cy="2057400"/>
            <wp:effectExtent l="0" t="0" r="15875" b="25400"/>
            <wp:docPr id="4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5AC986F" w14:textId="77777777" w:rsidR="00EE3A01" w:rsidRPr="00162A1D" w:rsidRDefault="00EE3A01" w:rsidP="00EE3A01">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Additional suggestions to improve the response impact on social stability include:</w:t>
      </w:r>
    </w:p>
    <w:p w14:paraId="0960AB82" w14:textId="77777777" w:rsidR="00EE3A01" w:rsidRPr="00162A1D" w:rsidRDefault="00EE3A01" w:rsidP="00EE3A01">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To include a higher percentage of beneficiaries from vulnerable host communities;</w:t>
      </w:r>
    </w:p>
    <w:p w14:paraId="5CA051E6" w14:textId="55207639" w:rsidR="00B37F89" w:rsidRPr="00162A1D" w:rsidRDefault="00EE3A01" w:rsidP="00EE3A01">
      <w:pPr>
        <w:pStyle w:val="ListParagraph"/>
        <w:numPr>
          <w:ilvl w:val="0"/>
          <w:numId w:val="8"/>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To find durable solutions for the refugees (Integration is not well received and perceived by the Lebanese community)</w:t>
      </w:r>
    </w:p>
    <w:p w14:paraId="596443BE" w14:textId="77777777" w:rsidR="00B37F89" w:rsidRPr="00162A1D" w:rsidRDefault="00B37F89">
      <w:p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br w:type="page"/>
      </w:r>
    </w:p>
    <w:p w14:paraId="7687C476" w14:textId="1C738095" w:rsidR="00B37F89" w:rsidRPr="00162A1D" w:rsidRDefault="00B37F89" w:rsidP="00B37F89">
      <w:pPr>
        <w:pStyle w:val="NoSpacing"/>
        <w:jc w:val="center"/>
        <w:rPr>
          <w:rFonts w:ascii="Arial" w:hAnsi="Arial" w:cs="Arial"/>
          <w:sz w:val="20"/>
          <w:szCs w:val="20"/>
          <w:shd w:val="clear" w:color="auto" w:fill="FFFFFF"/>
          <w:lang w:val="en-GB"/>
        </w:rPr>
      </w:pPr>
      <w:r w:rsidRPr="00162A1D">
        <w:rPr>
          <w:rFonts w:ascii="Arial" w:hAnsi="Arial" w:cs="Arial"/>
          <w:b/>
          <w:bCs/>
          <w:sz w:val="20"/>
          <w:szCs w:val="20"/>
          <w:shd w:val="clear" w:color="auto" w:fill="FFFFFF"/>
          <w:lang w:val="en-GB"/>
        </w:rPr>
        <w:lastRenderedPageBreak/>
        <w:t xml:space="preserve">Child Protection </w:t>
      </w:r>
      <w:r w:rsidRPr="00162A1D">
        <w:rPr>
          <w:rFonts w:ascii="Arial" w:hAnsi="Arial" w:cs="Arial"/>
          <w:sz w:val="20"/>
          <w:szCs w:val="20"/>
          <w:shd w:val="clear" w:color="auto" w:fill="FFFFFF"/>
          <w:lang w:val="en-GB"/>
        </w:rPr>
        <w:t>– 19 organisations</w:t>
      </w:r>
    </w:p>
    <w:p w14:paraId="5188C70C" w14:textId="77777777" w:rsidR="00B37F89" w:rsidRPr="00162A1D" w:rsidRDefault="00B37F89" w:rsidP="00B37F89">
      <w:pPr>
        <w:pStyle w:val="NoSpacing"/>
        <w:rPr>
          <w:rFonts w:ascii="Arial" w:hAnsi="Arial" w:cs="Arial"/>
          <w:sz w:val="20"/>
          <w:szCs w:val="20"/>
          <w:shd w:val="clear" w:color="auto" w:fill="FFFFFF"/>
          <w:lang w:val="en-GB"/>
        </w:rPr>
      </w:pPr>
    </w:p>
    <w:p w14:paraId="0748EBA8" w14:textId="77777777" w:rsidR="00B37F89" w:rsidRPr="00162A1D" w:rsidRDefault="00B37F89" w:rsidP="00B37F89">
      <w:pPr>
        <w:pStyle w:val="NoSpacing"/>
        <w:rPr>
          <w:rFonts w:ascii="Arial" w:hAnsi="Arial" w:cs="Arial"/>
          <w:b/>
          <w:bCs/>
          <w:sz w:val="20"/>
          <w:szCs w:val="20"/>
          <w:shd w:val="clear" w:color="auto" w:fill="FFFFFF"/>
          <w:lang w:val="en-GB"/>
        </w:rPr>
      </w:pPr>
      <w:r w:rsidRPr="00162A1D">
        <w:rPr>
          <w:rFonts w:ascii="Arial" w:hAnsi="Arial" w:cs="Arial"/>
          <w:b/>
          <w:bCs/>
          <w:sz w:val="20"/>
          <w:szCs w:val="20"/>
          <w:shd w:val="clear" w:color="auto" w:fill="FFFFFF"/>
          <w:lang w:val="en-GB"/>
        </w:rPr>
        <w:t>Strongest sector overlaps</w:t>
      </w:r>
    </w:p>
    <w:p w14:paraId="13854CC6" w14:textId="77777777" w:rsidR="00B37F89" w:rsidRPr="00162A1D" w:rsidRDefault="00B37F89" w:rsidP="00B37F89">
      <w:pPr>
        <w:pStyle w:val="NoSpacing"/>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16 of the organisations also work in Education</w:t>
      </w:r>
    </w:p>
    <w:p w14:paraId="7BDEF901" w14:textId="77777777" w:rsidR="00B37F89" w:rsidRPr="00162A1D" w:rsidRDefault="00B37F89" w:rsidP="00B37F89">
      <w:pPr>
        <w:pStyle w:val="NoSpacing"/>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15 of the organisations also work in Protection</w:t>
      </w:r>
    </w:p>
    <w:p w14:paraId="34039A98" w14:textId="77777777" w:rsidR="00B37F89" w:rsidRPr="00162A1D" w:rsidRDefault="00B37F89" w:rsidP="00B37F89">
      <w:pPr>
        <w:pStyle w:val="NoSpacing"/>
        <w:rPr>
          <w:rFonts w:ascii="Arial" w:hAnsi="Arial" w:cs="Arial"/>
          <w:sz w:val="20"/>
          <w:szCs w:val="20"/>
          <w:shd w:val="clear" w:color="auto" w:fill="FFFFFF"/>
          <w:lang w:val="en-GB"/>
        </w:rPr>
      </w:pPr>
    </w:p>
    <w:p w14:paraId="094E7D2F" w14:textId="77777777" w:rsidR="00B37F89" w:rsidRPr="00162A1D" w:rsidRDefault="00B37F89" w:rsidP="00B37F89">
      <w:pPr>
        <w:pStyle w:val="NoSpacing"/>
        <w:rPr>
          <w:rFonts w:ascii="Arial" w:hAnsi="Arial" w:cs="Arial"/>
          <w:b/>
          <w:bCs/>
          <w:sz w:val="20"/>
          <w:szCs w:val="20"/>
          <w:shd w:val="clear" w:color="auto" w:fill="FFFFFF"/>
          <w:lang w:val="en-GB"/>
        </w:rPr>
      </w:pPr>
      <w:r w:rsidRPr="00162A1D">
        <w:rPr>
          <w:rFonts w:ascii="Arial" w:hAnsi="Arial" w:cs="Arial"/>
          <w:b/>
          <w:bCs/>
          <w:sz w:val="20"/>
          <w:szCs w:val="20"/>
          <w:shd w:val="clear" w:color="auto" w:fill="FFFFFF"/>
          <w:lang w:val="en-GB"/>
        </w:rPr>
        <w:t>Knowledge of social stability programming</w:t>
      </w:r>
    </w:p>
    <w:p w14:paraId="23251DE3" w14:textId="77777777" w:rsidR="00B37F89" w:rsidRPr="00162A1D" w:rsidRDefault="00B37F89" w:rsidP="00B37F89">
      <w:pPr>
        <w:pStyle w:val="NoSpacing"/>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On a scale from 1 to 5, how do you rate your knowledge on the following aspects of conflict/social stability analysis (from 1- no specific knowledge to 5- advanced knowledge:</w:t>
      </w:r>
    </w:p>
    <w:p w14:paraId="61F84E93" w14:textId="77777777" w:rsidR="00B37F89" w:rsidRPr="00162A1D" w:rsidRDefault="00B37F89" w:rsidP="00B37F89">
      <w:pPr>
        <w:pStyle w:val="NoSpacing"/>
        <w:rPr>
          <w:rFonts w:ascii="Arial" w:hAnsi="Arial" w:cs="Arial"/>
          <w:sz w:val="20"/>
          <w:szCs w:val="20"/>
          <w:shd w:val="clear" w:color="auto" w:fill="FFFFFF"/>
          <w:lang w:val="en-GB"/>
        </w:rPr>
      </w:pPr>
      <w:r w:rsidRPr="00162A1D">
        <w:rPr>
          <w:rFonts w:ascii="Arial" w:hAnsi="Arial" w:cs="Arial"/>
          <w:noProof/>
          <w:sz w:val="20"/>
          <w:szCs w:val="20"/>
        </w:rPr>
        <w:drawing>
          <wp:inline distT="0" distB="0" distL="0" distR="0" wp14:anchorId="3BDC2B4E" wp14:editId="087622E2">
            <wp:extent cx="5810250" cy="2743200"/>
            <wp:effectExtent l="0" t="0" r="19050" b="19050"/>
            <wp:docPr id="4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DEB57B0" w14:textId="77777777" w:rsidR="00B37F89" w:rsidRPr="00162A1D" w:rsidRDefault="00B37F89" w:rsidP="00B37F89">
      <w:pPr>
        <w:pStyle w:val="NoSpacing"/>
        <w:rPr>
          <w:rFonts w:ascii="Arial" w:hAnsi="Arial" w:cs="Arial"/>
          <w:i/>
          <w:iCs/>
          <w:sz w:val="20"/>
          <w:szCs w:val="20"/>
          <w:shd w:val="clear" w:color="auto" w:fill="FFFFFF"/>
          <w:lang w:val="en-GB"/>
        </w:rPr>
      </w:pPr>
      <w:r w:rsidRPr="00162A1D">
        <w:rPr>
          <w:rFonts w:ascii="Arial" w:hAnsi="Arial" w:cs="Arial"/>
          <w:i/>
          <w:iCs/>
          <w:sz w:val="20"/>
          <w:szCs w:val="20"/>
          <w:shd w:val="clear" w:color="auto" w:fill="FFFFFF"/>
          <w:lang w:val="en-GB"/>
        </w:rPr>
        <w:t>It’s peculiar that people are confident in their understanding of the causes of tensions, but do not understand how their programme feeds into that, either through the unintended positive/negative impact, or the perceptions and implicit messages it conveys</w:t>
      </w:r>
    </w:p>
    <w:p w14:paraId="188FBF33" w14:textId="77777777" w:rsidR="00B37F89" w:rsidRPr="00162A1D" w:rsidRDefault="00B37F89" w:rsidP="00B37F89">
      <w:pPr>
        <w:pStyle w:val="NoSpacing"/>
        <w:rPr>
          <w:rFonts w:ascii="Arial" w:hAnsi="Arial" w:cs="Arial"/>
          <w:sz w:val="20"/>
          <w:szCs w:val="20"/>
          <w:shd w:val="clear" w:color="auto" w:fill="FFFFFF"/>
          <w:lang w:val="en-GB"/>
        </w:rPr>
      </w:pPr>
    </w:p>
    <w:p w14:paraId="5DA6CD36" w14:textId="77777777" w:rsidR="00B37F89" w:rsidRPr="00162A1D" w:rsidRDefault="00B37F89" w:rsidP="00B37F89">
      <w:pPr>
        <w:pStyle w:val="NoSpacing"/>
        <w:rPr>
          <w:rFonts w:ascii="Arial" w:hAnsi="Arial" w:cs="Arial"/>
          <w:b/>
          <w:bCs/>
          <w:sz w:val="20"/>
          <w:szCs w:val="20"/>
          <w:shd w:val="clear" w:color="auto" w:fill="FFFFFF"/>
          <w:lang w:val="en-GB"/>
        </w:rPr>
      </w:pPr>
      <w:r w:rsidRPr="00162A1D">
        <w:rPr>
          <w:rFonts w:ascii="Arial" w:hAnsi="Arial" w:cs="Arial"/>
          <w:b/>
          <w:bCs/>
          <w:sz w:val="20"/>
          <w:szCs w:val="20"/>
          <w:shd w:val="clear" w:color="auto" w:fill="FFFFFF"/>
          <w:lang w:val="en-GB"/>
        </w:rPr>
        <w:t xml:space="preserve">Contribution to social stability </w:t>
      </w:r>
    </w:p>
    <w:p w14:paraId="631B679B" w14:textId="77777777" w:rsidR="00B37F89" w:rsidRPr="00162A1D" w:rsidRDefault="00B37F89" w:rsidP="00B37F89">
      <w:pPr>
        <w:pStyle w:val="NoSpacing"/>
        <w:numPr>
          <w:ilvl w:val="0"/>
          <w:numId w:val="2"/>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11/19 consider that their organisation’s programs in Lebanon contribute to social stability</w:t>
      </w:r>
    </w:p>
    <w:p w14:paraId="2D62A117" w14:textId="77777777" w:rsidR="00B37F89" w:rsidRPr="00162A1D" w:rsidRDefault="00B37F89" w:rsidP="00B37F89">
      <w:pPr>
        <w:pStyle w:val="NoSpacing"/>
        <w:numPr>
          <w:ilvl w:val="0"/>
          <w:numId w:val="2"/>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4/19 have programs targeting host communities as well as refugee communities</w:t>
      </w:r>
    </w:p>
    <w:p w14:paraId="3BCACBE4" w14:textId="77777777" w:rsidR="00B37F89" w:rsidRPr="00162A1D" w:rsidRDefault="00B37F89" w:rsidP="00B37F89">
      <w:pPr>
        <w:pStyle w:val="NoSpacing"/>
        <w:numPr>
          <w:ilvl w:val="0"/>
          <w:numId w:val="2"/>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11/19 have programs contributing to strengthening the role of local institutions and authorities (municipalities, SDCs) to manage the crisis</w:t>
      </w:r>
    </w:p>
    <w:p w14:paraId="6DFCD02D" w14:textId="77777777" w:rsidR="00B37F89" w:rsidRPr="00162A1D" w:rsidRDefault="00B37F89" w:rsidP="00B37F89">
      <w:pPr>
        <w:pStyle w:val="NoSpacing"/>
        <w:numPr>
          <w:ilvl w:val="0"/>
          <w:numId w:val="2"/>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8/19 have programs bringing members from different communities together as part of their activities and build trust between and within communities</w:t>
      </w:r>
    </w:p>
    <w:p w14:paraId="16CB5333" w14:textId="77777777" w:rsidR="00B37F89" w:rsidRPr="00162A1D" w:rsidRDefault="00B37F89" w:rsidP="00B37F89">
      <w:pPr>
        <w:pStyle w:val="NoSpacing"/>
        <w:numPr>
          <w:ilvl w:val="0"/>
          <w:numId w:val="2"/>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10/19 have programs promoting social stability values (civic engagement, volunteering, tolerance and peaceful coexistence, conflict mediation and resolution) </w:t>
      </w:r>
    </w:p>
    <w:p w14:paraId="114380F4" w14:textId="77777777" w:rsidR="00B37F89" w:rsidRPr="00162A1D" w:rsidRDefault="00B37F89" w:rsidP="00B37F89">
      <w:pPr>
        <w:pStyle w:val="NoSpacing"/>
        <w:numPr>
          <w:ilvl w:val="0"/>
          <w:numId w:val="2"/>
        </w:numPr>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8/19 have programs supporting the delivery of basic services to decrease tensions related to pressure on basic services</w:t>
      </w:r>
    </w:p>
    <w:p w14:paraId="65B6D7AC" w14:textId="77777777" w:rsidR="00B37F89" w:rsidRPr="00162A1D" w:rsidRDefault="00B37F89" w:rsidP="00B37F89">
      <w:pPr>
        <w:pStyle w:val="NoSpacing"/>
        <w:rPr>
          <w:rFonts w:ascii="Arial" w:hAnsi="Arial" w:cs="Arial"/>
          <w:b/>
          <w:bCs/>
          <w:sz w:val="20"/>
          <w:szCs w:val="20"/>
          <w:shd w:val="clear" w:color="auto" w:fill="FFFFFF"/>
          <w:lang w:val="en-GB"/>
        </w:rPr>
      </w:pPr>
    </w:p>
    <w:p w14:paraId="327CC2D1" w14:textId="77777777" w:rsidR="00B37F89" w:rsidRPr="00162A1D" w:rsidRDefault="00B37F89" w:rsidP="00B37F89">
      <w:pPr>
        <w:pStyle w:val="NoSpacing"/>
        <w:rPr>
          <w:rFonts w:ascii="Arial" w:hAnsi="Arial" w:cs="Arial"/>
          <w:sz w:val="20"/>
          <w:szCs w:val="20"/>
          <w:shd w:val="clear" w:color="auto" w:fill="FFFFFF"/>
          <w:lang w:val="en-GB"/>
        </w:rPr>
      </w:pPr>
      <w:r w:rsidRPr="00162A1D">
        <w:rPr>
          <w:rFonts w:ascii="Arial" w:hAnsi="Arial" w:cs="Arial"/>
          <w:b/>
          <w:bCs/>
          <w:sz w:val="20"/>
          <w:szCs w:val="20"/>
          <w:shd w:val="clear" w:color="auto" w:fill="FFFFFF"/>
          <w:lang w:val="en-GB"/>
        </w:rPr>
        <w:t xml:space="preserve">Working with state institutions </w:t>
      </w:r>
    </w:p>
    <w:p w14:paraId="774AA3E3" w14:textId="77777777" w:rsidR="00B37F89" w:rsidRPr="00162A1D" w:rsidRDefault="00B37F89" w:rsidP="00B37F89">
      <w:pPr>
        <w:pStyle w:val="NoSpacing"/>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INGO and UN /w municipalities – 3.6</w:t>
      </w:r>
    </w:p>
    <w:p w14:paraId="057E451D" w14:textId="77777777" w:rsidR="00B37F89" w:rsidRPr="00162A1D" w:rsidRDefault="00B37F89" w:rsidP="00B37F89">
      <w:pPr>
        <w:pStyle w:val="NoSpacing"/>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LNGO /w municipalities – 3.9</w:t>
      </w:r>
    </w:p>
    <w:p w14:paraId="582E1092" w14:textId="77777777" w:rsidR="00B37F89" w:rsidRPr="00162A1D" w:rsidRDefault="00B37F89" w:rsidP="00B37F89">
      <w:pPr>
        <w:pStyle w:val="NoSpacing"/>
        <w:rPr>
          <w:rFonts w:ascii="Arial" w:eastAsia="Times New Roman" w:hAnsi="Arial" w:cs="Arial"/>
          <w:b/>
          <w:bCs/>
          <w:sz w:val="20"/>
          <w:szCs w:val="20"/>
          <w:lang w:val="en-GB"/>
        </w:rPr>
      </w:pPr>
      <w:r w:rsidRPr="00162A1D">
        <w:rPr>
          <w:rFonts w:ascii="Arial" w:hAnsi="Arial" w:cs="Arial"/>
          <w:sz w:val="20"/>
          <w:szCs w:val="20"/>
          <w:shd w:val="clear" w:color="auto" w:fill="FFFFFF"/>
          <w:lang w:val="en-GB"/>
        </w:rPr>
        <w:t>INGO and UN /w primary and secondary health care – 2.3</w:t>
      </w:r>
    </w:p>
    <w:p w14:paraId="7A3EA33A" w14:textId="77777777" w:rsidR="00B37F89" w:rsidRPr="00162A1D" w:rsidRDefault="00B37F89" w:rsidP="00B37F89">
      <w:pPr>
        <w:pStyle w:val="NoSpacing"/>
        <w:rPr>
          <w:rFonts w:ascii="Arial" w:eastAsia="Times New Roman" w:hAnsi="Arial" w:cs="Arial"/>
          <w:b/>
          <w:bCs/>
          <w:sz w:val="20"/>
          <w:szCs w:val="20"/>
          <w:lang w:val="en-GB"/>
        </w:rPr>
      </w:pPr>
      <w:r w:rsidRPr="00162A1D">
        <w:rPr>
          <w:rFonts w:ascii="Arial" w:hAnsi="Arial" w:cs="Arial"/>
          <w:sz w:val="20"/>
          <w:szCs w:val="20"/>
          <w:shd w:val="clear" w:color="auto" w:fill="FFFFFF"/>
          <w:lang w:val="en-GB"/>
        </w:rPr>
        <w:t>LNGO /w primary and secondary health care – 3.1</w:t>
      </w:r>
    </w:p>
    <w:p w14:paraId="5008E161" w14:textId="77777777" w:rsidR="00B37F89" w:rsidRPr="00162A1D" w:rsidRDefault="00B37F89" w:rsidP="00B37F89">
      <w:pPr>
        <w:pStyle w:val="NoSpacing"/>
        <w:rPr>
          <w:rFonts w:ascii="Arial" w:eastAsia="Times New Roman" w:hAnsi="Arial" w:cs="Arial"/>
          <w:b/>
          <w:bCs/>
          <w:sz w:val="20"/>
          <w:szCs w:val="20"/>
          <w:lang w:val="en-GB"/>
        </w:rPr>
      </w:pPr>
      <w:r w:rsidRPr="00162A1D">
        <w:rPr>
          <w:rFonts w:ascii="Arial" w:hAnsi="Arial" w:cs="Arial"/>
          <w:sz w:val="20"/>
          <w:szCs w:val="20"/>
          <w:shd w:val="clear" w:color="auto" w:fill="FFFFFF"/>
          <w:lang w:val="en-GB"/>
        </w:rPr>
        <w:t>INGO and UN /w MEHE – 3.3</w:t>
      </w:r>
    </w:p>
    <w:p w14:paraId="7FBB2312" w14:textId="77777777" w:rsidR="00B37F89" w:rsidRPr="00162A1D" w:rsidRDefault="00B37F89" w:rsidP="00B37F89">
      <w:pPr>
        <w:pStyle w:val="NoSpacing"/>
        <w:rPr>
          <w:rFonts w:ascii="Arial" w:eastAsia="Times New Roman" w:hAnsi="Arial" w:cs="Arial"/>
          <w:b/>
          <w:bCs/>
          <w:sz w:val="20"/>
          <w:szCs w:val="20"/>
          <w:lang w:val="en-GB"/>
        </w:rPr>
      </w:pPr>
      <w:r w:rsidRPr="00162A1D">
        <w:rPr>
          <w:rFonts w:ascii="Arial" w:hAnsi="Arial" w:cs="Arial"/>
          <w:sz w:val="20"/>
          <w:szCs w:val="20"/>
          <w:shd w:val="clear" w:color="auto" w:fill="FFFFFF"/>
          <w:lang w:val="en-GB"/>
        </w:rPr>
        <w:t>LNGO /w MEHE – 3.3</w:t>
      </w:r>
    </w:p>
    <w:p w14:paraId="545C0C5A" w14:textId="77777777" w:rsidR="00B37F89" w:rsidRPr="00162A1D" w:rsidRDefault="00B37F89" w:rsidP="00B37F89">
      <w:pPr>
        <w:pStyle w:val="NoSpacing"/>
        <w:rPr>
          <w:rFonts w:ascii="Arial" w:hAnsi="Arial" w:cs="Arial"/>
          <w:i/>
          <w:iCs/>
          <w:sz w:val="20"/>
          <w:szCs w:val="20"/>
          <w:shd w:val="clear" w:color="auto" w:fill="FFFFFF"/>
          <w:lang w:val="en-GB"/>
        </w:rPr>
      </w:pPr>
    </w:p>
    <w:p w14:paraId="6A52C3D7" w14:textId="77777777" w:rsidR="00B37F89" w:rsidRPr="00162A1D" w:rsidRDefault="00B37F89" w:rsidP="00B37F89">
      <w:pPr>
        <w:pStyle w:val="NoSpacing"/>
        <w:rPr>
          <w:rFonts w:ascii="Arial" w:hAnsi="Arial" w:cs="Arial"/>
          <w:b/>
          <w:bCs/>
          <w:sz w:val="20"/>
          <w:szCs w:val="20"/>
          <w:shd w:val="clear" w:color="auto" w:fill="FFFFFF"/>
          <w:lang w:val="en-GB"/>
        </w:rPr>
      </w:pPr>
      <w:r w:rsidRPr="00162A1D">
        <w:rPr>
          <w:rFonts w:ascii="Arial" w:hAnsi="Arial" w:cs="Arial"/>
          <w:b/>
          <w:bCs/>
          <w:sz w:val="20"/>
          <w:szCs w:val="20"/>
          <w:shd w:val="clear" w:color="auto" w:fill="FFFFFF"/>
          <w:lang w:val="en-GB"/>
        </w:rPr>
        <w:t xml:space="preserve">Training needs </w:t>
      </w:r>
    </w:p>
    <w:p w14:paraId="04300592" w14:textId="77777777" w:rsidR="00B37F89" w:rsidRPr="00162A1D" w:rsidRDefault="00B37F89" w:rsidP="00B37F89">
      <w:pPr>
        <w:pStyle w:val="NoSpacing"/>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Training needs: How useful would the following trainings be to increase your organizations’ contribution to social stability? (1- not useful, 5 very useful)</w:t>
      </w:r>
    </w:p>
    <w:p w14:paraId="41526C2F" w14:textId="77777777" w:rsidR="00B37F89" w:rsidRPr="00162A1D" w:rsidRDefault="00B37F89" w:rsidP="00B37F89">
      <w:pPr>
        <w:pStyle w:val="NoSpacing"/>
        <w:rPr>
          <w:rFonts w:ascii="Arial" w:hAnsi="Arial" w:cs="Arial"/>
          <w:sz w:val="20"/>
          <w:szCs w:val="20"/>
          <w:shd w:val="clear" w:color="auto" w:fill="FFFFFF"/>
          <w:lang w:val="en-GB"/>
        </w:rPr>
      </w:pPr>
      <w:r w:rsidRPr="00162A1D">
        <w:rPr>
          <w:rFonts w:ascii="Arial" w:hAnsi="Arial" w:cs="Arial"/>
          <w:noProof/>
          <w:sz w:val="20"/>
          <w:szCs w:val="20"/>
        </w:rPr>
        <w:lastRenderedPageBreak/>
        <w:drawing>
          <wp:inline distT="0" distB="0" distL="0" distR="0" wp14:anchorId="3724FFE2" wp14:editId="21795B64">
            <wp:extent cx="5505450" cy="2886075"/>
            <wp:effectExtent l="0" t="0" r="19050" b="9525"/>
            <wp:docPr id="4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20D1F1E" w14:textId="77777777" w:rsidR="00B37F89" w:rsidRPr="00162A1D" w:rsidRDefault="00B37F89" w:rsidP="00B37F89">
      <w:pPr>
        <w:pStyle w:val="NoSpacing"/>
        <w:rPr>
          <w:rFonts w:ascii="Arial" w:hAnsi="Arial" w:cs="Arial"/>
          <w:i/>
          <w:iCs/>
          <w:sz w:val="20"/>
          <w:szCs w:val="20"/>
          <w:shd w:val="clear" w:color="auto" w:fill="FFFFFF"/>
          <w:lang w:val="en-GB"/>
        </w:rPr>
      </w:pPr>
      <w:r w:rsidRPr="00162A1D">
        <w:rPr>
          <w:rFonts w:ascii="Arial" w:hAnsi="Arial" w:cs="Arial"/>
          <w:i/>
          <w:iCs/>
          <w:sz w:val="20"/>
          <w:szCs w:val="20"/>
          <w:shd w:val="clear" w:color="auto" w:fill="FFFFFF"/>
          <w:lang w:val="en-GB"/>
        </w:rPr>
        <w:t>The low ranking of DNH seems at odds with the first graph which shows that people do not have the knowledge to understand inadvertent positive/negative impacts of programming, or perceptions and the messages that programming conveys</w:t>
      </w:r>
    </w:p>
    <w:p w14:paraId="1C6F85C9" w14:textId="77777777" w:rsidR="00B37F89" w:rsidRPr="00162A1D" w:rsidRDefault="00B37F89" w:rsidP="00B37F89">
      <w:pPr>
        <w:pStyle w:val="NoSpacing"/>
        <w:rPr>
          <w:rFonts w:ascii="Arial" w:hAnsi="Arial" w:cs="Arial"/>
          <w:sz w:val="20"/>
          <w:szCs w:val="20"/>
          <w:shd w:val="clear" w:color="auto" w:fill="FFFFFF"/>
          <w:lang w:val="en-GB"/>
        </w:rPr>
      </w:pPr>
    </w:p>
    <w:p w14:paraId="7D6C3939" w14:textId="77777777" w:rsidR="00B37F89" w:rsidRPr="00162A1D" w:rsidRDefault="00B37F89" w:rsidP="00B37F89">
      <w:pPr>
        <w:pStyle w:val="NoSpacing"/>
        <w:rPr>
          <w:rFonts w:ascii="Arial" w:hAnsi="Arial" w:cs="Arial"/>
          <w:sz w:val="20"/>
          <w:szCs w:val="20"/>
          <w:lang w:val="en-GB"/>
        </w:rPr>
      </w:pPr>
      <w:r w:rsidRPr="00162A1D">
        <w:rPr>
          <w:rFonts w:ascii="Arial" w:hAnsi="Arial" w:cs="Arial"/>
          <w:sz w:val="20"/>
          <w:szCs w:val="20"/>
          <w:shd w:val="clear" w:color="auto" w:fill="FFFFFF"/>
          <w:lang w:val="en-GB"/>
        </w:rPr>
        <w:t>What other type of support from the social stability sector would be useful to increase your organization’s contribution to social stability? (1- not useful, 5- very useful)</w:t>
      </w:r>
      <w:r w:rsidRPr="00162A1D">
        <w:rPr>
          <w:rFonts w:ascii="Arial" w:hAnsi="Arial" w:cs="Arial"/>
          <w:noProof/>
          <w:sz w:val="20"/>
          <w:szCs w:val="20"/>
        </w:rPr>
        <w:drawing>
          <wp:inline distT="0" distB="0" distL="0" distR="0" wp14:anchorId="47B3E072" wp14:editId="5AB65C70">
            <wp:extent cx="5276850" cy="3143250"/>
            <wp:effectExtent l="0" t="0" r="19050" b="19050"/>
            <wp:docPr id="4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6661E87A" w14:textId="77777777" w:rsidR="00EE3A01" w:rsidRPr="00162A1D" w:rsidRDefault="00EE3A01" w:rsidP="00EE3A01">
      <w:pPr>
        <w:pStyle w:val="ListParagraph"/>
        <w:numPr>
          <w:ilvl w:val="0"/>
          <w:numId w:val="8"/>
        </w:numPr>
        <w:rPr>
          <w:rFonts w:ascii="Arial" w:hAnsi="Arial" w:cs="Arial"/>
          <w:sz w:val="20"/>
          <w:szCs w:val="20"/>
          <w:shd w:val="clear" w:color="auto" w:fill="FFFFFF"/>
          <w:lang w:val="en-GB"/>
        </w:rPr>
      </w:pPr>
    </w:p>
    <w:p w14:paraId="161893C0" w14:textId="77777777" w:rsidR="00E348D7" w:rsidRDefault="00E348D7" w:rsidP="00D23F0E">
      <w:pPr>
        <w:jc w:val="center"/>
        <w:rPr>
          <w:rFonts w:ascii="Arial" w:hAnsi="Arial" w:cs="Arial"/>
          <w:b/>
          <w:sz w:val="20"/>
          <w:szCs w:val="20"/>
          <w:lang w:val="en-GB"/>
        </w:rPr>
      </w:pPr>
    </w:p>
    <w:p w14:paraId="47E8D908" w14:textId="77777777" w:rsidR="00E348D7" w:rsidRDefault="00E348D7" w:rsidP="00D23F0E">
      <w:pPr>
        <w:jc w:val="center"/>
        <w:rPr>
          <w:rFonts w:ascii="Arial" w:hAnsi="Arial" w:cs="Arial"/>
          <w:b/>
          <w:sz w:val="20"/>
          <w:szCs w:val="20"/>
          <w:lang w:val="en-GB"/>
        </w:rPr>
      </w:pPr>
    </w:p>
    <w:p w14:paraId="4ADAEF28" w14:textId="77777777" w:rsidR="00E348D7" w:rsidRDefault="00E348D7" w:rsidP="00D23F0E">
      <w:pPr>
        <w:jc w:val="center"/>
        <w:rPr>
          <w:rFonts w:ascii="Arial" w:hAnsi="Arial" w:cs="Arial"/>
          <w:b/>
          <w:sz w:val="20"/>
          <w:szCs w:val="20"/>
          <w:lang w:val="en-GB"/>
        </w:rPr>
      </w:pPr>
    </w:p>
    <w:p w14:paraId="09155B8E" w14:textId="77777777" w:rsidR="00D23F0E" w:rsidRPr="00162A1D" w:rsidRDefault="00D23F0E" w:rsidP="00D23F0E">
      <w:pPr>
        <w:jc w:val="center"/>
        <w:rPr>
          <w:rFonts w:ascii="Arial" w:hAnsi="Arial" w:cs="Arial"/>
          <w:b/>
          <w:sz w:val="20"/>
          <w:szCs w:val="20"/>
          <w:lang w:val="en-GB"/>
        </w:rPr>
      </w:pPr>
      <w:r w:rsidRPr="00162A1D">
        <w:rPr>
          <w:rFonts w:ascii="Arial" w:hAnsi="Arial" w:cs="Arial"/>
          <w:b/>
          <w:sz w:val="20"/>
          <w:szCs w:val="20"/>
          <w:lang w:val="en-GB"/>
        </w:rPr>
        <w:lastRenderedPageBreak/>
        <w:t>Social Stability Mainstreaming Survey – SGBV Sector Analysis</w:t>
      </w:r>
    </w:p>
    <w:p w14:paraId="13660B43" w14:textId="77777777" w:rsidR="00D23F0E" w:rsidRPr="00162A1D" w:rsidRDefault="00D23F0E" w:rsidP="00D23F0E">
      <w:pPr>
        <w:jc w:val="center"/>
        <w:rPr>
          <w:rFonts w:ascii="Arial" w:hAnsi="Arial" w:cs="Arial"/>
          <w:b/>
          <w:sz w:val="20"/>
          <w:szCs w:val="20"/>
          <w:lang w:val="en-GB"/>
        </w:rPr>
      </w:pPr>
      <w:r w:rsidRPr="00162A1D">
        <w:rPr>
          <w:rFonts w:ascii="Arial" w:hAnsi="Arial" w:cs="Arial"/>
          <w:b/>
          <w:sz w:val="20"/>
          <w:szCs w:val="20"/>
          <w:lang w:val="en-GB"/>
        </w:rPr>
        <w:t>16 organisations</w:t>
      </w:r>
      <w:r w:rsidRPr="00162A1D">
        <w:rPr>
          <w:rFonts w:ascii="Arial" w:hAnsi="Arial" w:cs="Arial"/>
          <w:b/>
          <w:sz w:val="20"/>
          <w:szCs w:val="20"/>
          <w:lang w:val="en-GB"/>
        </w:rPr>
        <w:br/>
        <w:t>(2 Donor Agencies, 2 UN Agencies, 7 INGOs, 4 Local NGOs, 1 Blank)</w:t>
      </w:r>
    </w:p>
    <w:p w14:paraId="4CCAD76A" w14:textId="77777777" w:rsidR="00D23F0E" w:rsidRPr="00162A1D" w:rsidRDefault="00D23F0E" w:rsidP="00D23F0E">
      <w:pPr>
        <w:rPr>
          <w:rFonts w:ascii="Arial" w:hAnsi="Arial" w:cs="Arial"/>
          <w:sz w:val="20"/>
          <w:szCs w:val="20"/>
          <w:u w:val="single"/>
        </w:rPr>
      </w:pPr>
      <w:r w:rsidRPr="00162A1D">
        <w:rPr>
          <w:rFonts w:ascii="Arial" w:hAnsi="Arial" w:cs="Arial"/>
          <w:sz w:val="20"/>
          <w:szCs w:val="20"/>
          <w:u w:val="single"/>
        </w:rPr>
        <w:t xml:space="preserve">Knowledge of conflict issue (Q9) – </w:t>
      </w:r>
      <w:r w:rsidRPr="00162A1D">
        <w:rPr>
          <w:rFonts w:ascii="Arial" w:hAnsi="Arial" w:cs="Arial"/>
          <w:b/>
          <w:sz w:val="20"/>
          <w:szCs w:val="20"/>
          <w:u w:val="single"/>
        </w:rPr>
        <w:t>15/16 respondents</w:t>
      </w:r>
    </w:p>
    <w:p w14:paraId="1CB6E1B0" w14:textId="77777777" w:rsidR="00D23F0E" w:rsidRPr="00162A1D" w:rsidRDefault="00D23F0E" w:rsidP="00D23F0E">
      <w:pPr>
        <w:rPr>
          <w:rFonts w:ascii="Arial" w:hAnsi="Arial" w:cs="Arial"/>
          <w:sz w:val="20"/>
          <w:szCs w:val="20"/>
        </w:rPr>
      </w:pPr>
      <w:r w:rsidRPr="00162A1D">
        <w:rPr>
          <w:rFonts w:ascii="Arial" w:hAnsi="Arial" w:cs="Arial"/>
          <w:noProof/>
          <w:sz w:val="20"/>
          <w:szCs w:val="20"/>
        </w:rPr>
        <w:drawing>
          <wp:inline distT="0" distB="0" distL="0" distR="0" wp14:anchorId="7F7F2381" wp14:editId="4B820193">
            <wp:extent cx="5486400" cy="3200400"/>
            <wp:effectExtent l="0" t="0" r="0" b="0"/>
            <wp:docPr id="4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2EFCF129" w14:textId="77777777" w:rsidR="00D23F0E" w:rsidRPr="00162A1D" w:rsidRDefault="00D23F0E" w:rsidP="00D23F0E">
      <w:pPr>
        <w:rPr>
          <w:rFonts w:ascii="Arial" w:hAnsi="Arial" w:cs="Arial"/>
          <w:noProof/>
          <w:sz w:val="20"/>
          <w:szCs w:val="20"/>
          <w:u w:val="single"/>
        </w:rPr>
      </w:pPr>
      <w:r w:rsidRPr="00162A1D">
        <w:rPr>
          <w:rFonts w:ascii="Arial" w:hAnsi="Arial" w:cs="Arial"/>
          <w:noProof/>
          <w:sz w:val="20"/>
          <w:szCs w:val="20"/>
          <w:u w:val="single"/>
        </w:rPr>
        <w:t xml:space="preserve">Contribution to Social Stability (Q22) – </w:t>
      </w:r>
      <w:r w:rsidRPr="00162A1D">
        <w:rPr>
          <w:rFonts w:ascii="Arial" w:hAnsi="Arial" w:cs="Arial"/>
          <w:b/>
          <w:noProof/>
          <w:sz w:val="20"/>
          <w:szCs w:val="20"/>
          <w:u w:val="single"/>
        </w:rPr>
        <w:t>12/16 respondents</w:t>
      </w:r>
    </w:p>
    <w:p w14:paraId="38BC6BAA" w14:textId="77777777" w:rsidR="00D23F0E" w:rsidRPr="00162A1D" w:rsidRDefault="00D23F0E" w:rsidP="00D23F0E">
      <w:pPr>
        <w:rPr>
          <w:rFonts w:ascii="Arial" w:hAnsi="Arial" w:cs="Arial"/>
          <w:sz w:val="20"/>
          <w:szCs w:val="20"/>
          <w:shd w:val="clear" w:color="auto" w:fill="FFFFFF"/>
          <w:lang w:val="en-GB"/>
        </w:rPr>
      </w:pPr>
      <w:r w:rsidRPr="00162A1D">
        <w:rPr>
          <w:rFonts w:ascii="Arial" w:hAnsi="Arial" w:cs="Arial"/>
          <w:noProof/>
          <w:sz w:val="20"/>
          <w:szCs w:val="20"/>
        </w:rPr>
        <w:t xml:space="preserve">11/12 Consider </w:t>
      </w:r>
      <w:r w:rsidRPr="00162A1D">
        <w:rPr>
          <w:rFonts w:ascii="Arial" w:hAnsi="Arial" w:cs="Arial"/>
          <w:sz w:val="20"/>
          <w:szCs w:val="20"/>
          <w:shd w:val="clear" w:color="auto" w:fill="FFFFFF"/>
          <w:lang w:val="en-GB"/>
        </w:rPr>
        <w:t>that their organisation’s programs in Lebanon contribute to social stability</w:t>
      </w:r>
    </w:p>
    <w:p w14:paraId="2F7B3452" w14:textId="77777777" w:rsidR="00D23F0E" w:rsidRPr="00162A1D" w:rsidRDefault="00D23F0E" w:rsidP="00D23F0E">
      <w:pPr>
        <w:pStyle w:val="ListParagraph"/>
        <w:numPr>
          <w:ilvl w:val="0"/>
          <w:numId w:val="9"/>
        </w:numPr>
        <w:spacing w:after="160" w:line="259" w:lineRule="auto"/>
        <w:rPr>
          <w:rFonts w:ascii="Arial" w:hAnsi="Arial" w:cs="Arial"/>
          <w:sz w:val="20"/>
          <w:szCs w:val="20"/>
        </w:rPr>
      </w:pPr>
      <w:r w:rsidRPr="00162A1D">
        <w:rPr>
          <w:rFonts w:ascii="Arial" w:hAnsi="Arial" w:cs="Arial"/>
          <w:sz w:val="20"/>
          <w:szCs w:val="20"/>
        </w:rPr>
        <w:t xml:space="preserve">6/12 </w:t>
      </w:r>
      <w:r w:rsidRPr="00162A1D">
        <w:rPr>
          <w:rFonts w:ascii="Arial" w:hAnsi="Arial" w:cs="Arial"/>
          <w:sz w:val="20"/>
          <w:szCs w:val="20"/>
          <w:shd w:val="clear" w:color="auto" w:fill="FFFFFF"/>
          <w:lang w:val="en-GB"/>
        </w:rPr>
        <w:t>implement specific social stability programs (under the Social Stability Sector);</w:t>
      </w:r>
    </w:p>
    <w:p w14:paraId="24930648" w14:textId="77777777" w:rsidR="00D23F0E" w:rsidRPr="00162A1D" w:rsidRDefault="00D23F0E" w:rsidP="00D23F0E">
      <w:pPr>
        <w:pStyle w:val="ListParagraph"/>
        <w:numPr>
          <w:ilvl w:val="0"/>
          <w:numId w:val="9"/>
        </w:numPr>
        <w:spacing w:after="160" w:line="259" w:lineRule="auto"/>
        <w:rPr>
          <w:rFonts w:ascii="Arial" w:hAnsi="Arial" w:cs="Arial"/>
          <w:sz w:val="20"/>
          <w:szCs w:val="20"/>
        </w:rPr>
      </w:pPr>
      <w:r w:rsidRPr="00162A1D">
        <w:rPr>
          <w:rFonts w:ascii="Arial" w:hAnsi="Arial" w:cs="Arial"/>
          <w:sz w:val="20"/>
          <w:szCs w:val="20"/>
          <w:shd w:val="clear" w:color="auto" w:fill="FFFFFF"/>
          <w:lang w:val="en-GB"/>
        </w:rPr>
        <w:t>10/12 have programs targeting host communities as well as refugee communities;</w:t>
      </w:r>
    </w:p>
    <w:p w14:paraId="3764BF7D" w14:textId="77777777" w:rsidR="00D23F0E" w:rsidRPr="00162A1D" w:rsidRDefault="00D23F0E" w:rsidP="00D23F0E">
      <w:pPr>
        <w:pStyle w:val="ListParagraph"/>
        <w:numPr>
          <w:ilvl w:val="0"/>
          <w:numId w:val="9"/>
        </w:numPr>
        <w:spacing w:after="160" w:line="259" w:lineRule="auto"/>
        <w:rPr>
          <w:rFonts w:ascii="Arial" w:hAnsi="Arial" w:cs="Arial"/>
          <w:sz w:val="20"/>
          <w:szCs w:val="20"/>
        </w:rPr>
      </w:pPr>
      <w:r w:rsidRPr="00162A1D">
        <w:rPr>
          <w:rFonts w:ascii="Arial" w:hAnsi="Arial" w:cs="Arial"/>
          <w:sz w:val="20"/>
          <w:szCs w:val="20"/>
          <w:shd w:val="clear" w:color="auto" w:fill="FFFFFF"/>
          <w:lang w:val="en-GB"/>
        </w:rPr>
        <w:t>10/12 have programs contributing to strengthening the role of local institutions and authorities (municipalities, SDCs) to manage the crisis;</w:t>
      </w:r>
    </w:p>
    <w:p w14:paraId="2F12F541" w14:textId="77777777" w:rsidR="00D23F0E" w:rsidRPr="00162A1D" w:rsidRDefault="00D23F0E" w:rsidP="00D23F0E">
      <w:pPr>
        <w:pStyle w:val="ListParagraph"/>
        <w:numPr>
          <w:ilvl w:val="0"/>
          <w:numId w:val="9"/>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7/12 have programs supporting the delivery of basic services to decrease tensions related to pressure on basic services;</w:t>
      </w:r>
    </w:p>
    <w:p w14:paraId="05578619" w14:textId="77777777" w:rsidR="00D23F0E" w:rsidRPr="00162A1D" w:rsidRDefault="00D23F0E" w:rsidP="00D23F0E">
      <w:pPr>
        <w:pStyle w:val="ListParagraph"/>
        <w:numPr>
          <w:ilvl w:val="0"/>
          <w:numId w:val="9"/>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8/12 have programs bringing members from different communities together as part of their activities and build trust between and within communities;</w:t>
      </w:r>
    </w:p>
    <w:p w14:paraId="09C02B80" w14:textId="77777777" w:rsidR="00D23F0E" w:rsidRPr="00162A1D" w:rsidRDefault="00D23F0E" w:rsidP="00D23F0E">
      <w:pPr>
        <w:pStyle w:val="ListParagraph"/>
        <w:numPr>
          <w:ilvl w:val="0"/>
          <w:numId w:val="9"/>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6/12 have programs promoting social stability values (civic engagement, volunteering, tolerance and peaceful coexistence, conflict mediation and resolution)</w:t>
      </w:r>
    </w:p>
    <w:p w14:paraId="2C518CBE" w14:textId="77777777" w:rsidR="00D23F0E" w:rsidRPr="00162A1D" w:rsidRDefault="00D23F0E" w:rsidP="00D23F0E">
      <w:pPr>
        <w:jc w:val="both"/>
        <w:rPr>
          <w:rFonts w:ascii="Arial" w:hAnsi="Arial" w:cs="Arial"/>
          <w:sz w:val="20"/>
          <w:szCs w:val="20"/>
          <w:u w:val="single"/>
          <w:shd w:val="clear" w:color="auto" w:fill="FFFFFF"/>
          <w:lang w:val="en-GB"/>
        </w:rPr>
      </w:pPr>
      <w:r w:rsidRPr="00162A1D">
        <w:rPr>
          <w:rFonts w:ascii="Arial" w:hAnsi="Arial" w:cs="Arial"/>
          <w:sz w:val="20"/>
          <w:szCs w:val="20"/>
          <w:u w:val="single"/>
          <w:shd w:val="clear" w:color="auto" w:fill="FFFFFF"/>
          <w:lang w:val="en-GB"/>
        </w:rPr>
        <w:t xml:space="preserve">Work in Public Institutions (Q23) – </w:t>
      </w:r>
      <w:r w:rsidRPr="00162A1D">
        <w:rPr>
          <w:rFonts w:ascii="Arial" w:hAnsi="Arial" w:cs="Arial"/>
          <w:b/>
          <w:sz w:val="20"/>
          <w:szCs w:val="20"/>
          <w:u w:val="single"/>
          <w:shd w:val="clear" w:color="auto" w:fill="FFFFFF"/>
          <w:lang w:val="en-GB"/>
        </w:rPr>
        <w:t>12/16 respondents</w:t>
      </w:r>
    </w:p>
    <w:p w14:paraId="4F911430" w14:textId="77777777" w:rsidR="00D23F0E" w:rsidRPr="00162A1D" w:rsidRDefault="00D23F0E" w:rsidP="00D23F0E">
      <w:p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Average (12/16): </w:t>
      </w:r>
      <w:r w:rsidRPr="00162A1D">
        <w:rPr>
          <w:rFonts w:ascii="Arial" w:hAnsi="Arial" w:cs="Arial"/>
          <w:b/>
          <w:sz w:val="20"/>
          <w:szCs w:val="20"/>
          <w:shd w:val="clear" w:color="auto" w:fill="FFFFFF"/>
          <w:lang w:val="en-GB"/>
        </w:rPr>
        <w:t>3.03</w:t>
      </w:r>
    </w:p>
    <w:p w14:paraId="0BC05400" w14:textId="77777777" w:rsidR="00D23F0E" w:rsidRPr="00162A1D" w:rsidRDefault="00D23F0E" w:rsidP="00D23F0E">
      <w:p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Highest (11/16): </w:t>
      </w:r>
      <w:r w:rsidRPr="00162A1D">
        <w:rPr>
          <w:rFonts w:ascii="Arial" w:hAnsi="Arial" w:cs="Arial"/>
          <w:b/>
          <w:sz w:val="20"/>
          <w:szCs w:val="20"/>
          <w:shd w:val="clear" w:color="auto" w:fill="FFFFFF"/>
          <w:lang w:val="en-GB"/>
        </w:rPr>
        <w:t xml:space="preserve">3.91 for MoSA – SDCs </w:t>
      </w:r>
      <w:r w:rsidRPr="00162A1D">
        <w:rPr>
          <w:rFonts w:ascii="Arial" w:hAnsi="Arial" w:cs="Arial"/>
          <w:sz w:val="20"/>
          <w:szCs w:val="20"/>
          <w:shd w:val="clear" w:color="auto" w:fill="FFFFFF"/>
          <w:lang w:val="en-GB"/>
        </w:rPr>
        <w:t>(2</w:t>
      </w:r>
      <w:r w:rsidRPr="00162A1D">
        <w:rPr>
          <w:rFonts w:ascii="Arial" w:hAnsi="Arial" w:cs="Arial"/>
          <w:sz w:val="20"/>
          <w:szCs w:val="20"/>
          <w:shd w:val="clear" w:color="auto" w:fill="FFFFFF"/>
          <w:vertAlign w:val="superscript"/>
          <w:lang w:val="en-GB"/>
        </w:rPr>
        <w:t>nd</w:t>
      </w:r>
      <w:r w:rsidRPr="00162A1D">
        <w:rPr>
          <w:rFonts w:ascii="Arial" w:hAnsi="Arial" w:cs="Arial"/>
          <w:sz w:val="20"/>
          <w:szCs w:val="20"/>
          <w:shd w:val="clear" w:color="auto" w:fill="FFFFFF"/>
          <w:lang w:val="en-GB"/>
        </w:rPr>
        <w:t xml:space="preserve"> (10/16) 3.6 for Municipalities)</w:t>
      </w:r>
    </w:p>
    <w:p w14:paraId="6C634051" w14:textId="77777777" w:rsidR="00D23F0E" w:rsidRPr="00162A1D" w:rsidRDefault="00D23F0E" w:rsidP="00D23F0E">
      <w:p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 xml:space="preserve">Lowest: (11/16): </w:t>
      </w:r>
      <w:r w:rsidRPr="00162A1D">
        <w:rPr>
          <w:rFonts w:ascii="Arial" w:hAnsi="Arial" w:cs="Arial"/>
          <w:b/>
          <w:sz w:val="20"/>
          <w:szCs w:val="20"/>
          <w:shd w:val="clear" w:color="auto" w:fill="FFFFFF"/>
          <w:lang w:val="en-GB"/>
        </w:rPr>
        <w:t xml:space="preserve">2.45 for Ministry of Public Health </w:t>
      </w:r>
      <w:r w:rsidRPr="00162A1D">
        <w:rPr>
          <w:rFonts w:ascii="Arial" w:hAnsi="Arial" w:cs="Arial"/>
          <w:sz w:val="20"/>
          <w:szCs w:val="20"/>
          <w:shd w:val="clear" w:color="auto" w:fill="FFFFFF"/>
          <w:lang w:val="en-GB"/>
        </w:rPr>
        <w:t>and</w:t>
      </w:r>
      <w:r w:rsidRPr="00162A1D">
        <w:rPr>
          <w:rFonts w:ascii="Arial" w:hAnsi="Arial" w:cs="Arial"/>
          <w:b/>
          <w:sz w:val="20"/>
          <w:szCs w:val="20"/>
          <w:shd w:val="clear" w:color="auto" w:fill="FFFFFF"/>
          <w:lang w:val="en-GB"/>
        </w:rPr>
        <w:t xml:space="preserve"> 2.45 for P/SHCC</w:t>
      </w:r>
    </w:p>
    <w:p w14:paraId="36A745BC" w14:textId="77777777" w:rsidR="00D23F0E" w:rsidRPr="00162A1D" w:rsidRDefault="00D23F0E" w:rsidP="00D23F0E">
      <w:pPr>
        <w:jc w:val="both"/>
        <w:rPr>
          <w:rFonts w:ascii="Arial" w:hAnsi="Arial" w:cs="Arial"/>
          <w:sz w:val="20"/>
          <w:szCs w:val="20"/>
          <w:u w:val="single"/>
          <w:shd w:val="clear" w:color="auto" w:fill="FFFFFF"/>
          <w:lang w:val="en-GB"/>
        </w:rPr>
      </w:pPr>
      <w:r w:rsidRPr="00162A1D">
        <w:rPr>
          <w:rFonts w:ascii="Arial" w:hAnsi="Arial" w:cs="Arial"/>
          <w:sz w:val="20"/>
          <w:szCs w:val="20"/>
          <w:u w:val="single"/>
          <w:shd w:val="clear" w:color="auto" w:fill="FFFFFF"/>
          <w:lang w:val="en-GB"/>
        </w:rPr>
        <w:t xml:space="preserve">Conflict Sensitivity Mechanisms (Q25) – </w:t>
      </w:r>
      <w:r w:rsidRPr="00162A1D">
        <w:rPr>
          <w:rFonts w:ascii="Arial" w:hAnsi="Arial" w:cs="Arial"/>
          <w:b/>
          <w:sz w:val="20"/>
          <w:szCs w:val="20"/>
          <w:u w:val="single"/>
          <w:shd w:val="clear" w:color="auto" w:fill="FFFFFF"/>
          <w:lang w:val="en-GB"/>
        </w:rPr>
        <w:t>10/16 respondents</w:t>
      </w:r>
    </w:p>
    <w:p w14:paraId="4A2AFCC3" w14:textId="77777777" w:rsidR="00D23F0E" w:rsidRPr="00162A1D" w:rsidRDefault="00D23F0E" w:rsidP="00D23F0E">
      <w:p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lastRenderedPageBreak/>
        <w:t>5/10 have internal mechanism(s) in house to make sure their programs are conflict sensitive</w:t>
      </w:r>
    </w:p>
    <w:p w14:paraId="6E2F98E8" w14:textId="77777777" w:rsidR="00D23F0E" w:rsidRPr="00162A1D" w:rsidRDefault="00D23F0E" w:rsidP="00D23F0E">
      <w:pPr>
        <w:jc w:val="both"/>
        <w:rPr>
          <w:rFonts w:ascii="Arial" w:hAnsi="Arial" w:cs="Arial"/>
          <w:sz w:val="20"/>
          <w:szCs w:val="20"/>
          <w:shd w:val="clear" w:color="auto" w:fill="FFFFFF"/>
          <w:lang w:val="en-GB"/>
        </w:rPr>
      </w:pPr>
    </w:p>
    <w:p w14:paraId="3309F4D8" w14:textId="77777777" w:rsidR="00D23F0E" w:rsidRPr="00162A1D" w:rsidRDefault="00D23F0E" w:rsidP="00D23F0E">
      <w:pPr>
        <w:jc w:val="both"/>
        <w:rPr>
          <w:rFonts w:ascii="Arial" w:hAnsi="Arial" w:cs="Arial"/>
          <w:sz w:val="20"/>
          <w:szCs w:val="20"/>
          <w:u w:val="single"/>
          <w:shd w:val="clear" w:color="auto" w:fill="FFFFFF"/>
          <w:lang w:val="en-GB"/>
        </w:rPr>
      </w:pPr>
      <w:r w:rsidRPr="00162A1D">
        <w:rPr>
          <w:rFonts w:ascii="Arial" w:hAnsi="Arial" w:cs="Arial"/>
          <w:sz w:val="20"/>
          <w:szCs w:val="20"/>
          <w:u w:val="single"/>
          <w:shd w:val="clear" w:color="auto" w:fill="FFFFFF"/>
          <w:lang w:val="en-GB"/>
        </w:rPr>
        <w:t xml:space="preserve">Training and Guidance Needs and Suggestions (Q26-29) – </w:t>
      </w:r>
      <w:r w:rsidRPr="00162A1D">
        <w:rPr>
          <w:rFonts w:ascii="Arial" w:hAnsi="Arial" w:cs="Arial"/>
          <w:b/>
          <w:sz w:val="20"/>
          <w:szCs w:val="20"/>
          <w:u w:val="single"/>
          <w:shd w:val="clear" w:color="auto" w:fill="FFFFFF"/>
          <w:lang w:val="en-GB"/>
        </w:rPr>
        <w:t>10/16 respondents</w:t>
      </w:r>
    </w:p>
    <w:p w14:paraId="2002BFFD" w14:textId="77777777" w:rsidR="00D23F0E" w:rsidRPr="00162A1D" w:rsidRDefault="00D23F0E" w:rsidP="00D23F0E">
      <w:pPr>
        <w:jc w:val="both"/>
        <w:rPr>
          <w:rFonts w:ascii="Arial" w:hAnsi="Arial" w:cs="Arial"/>
          <w:sz w:val="20"/>
          <w:szCs w:val="20"/>
          <w:shd w:val="clear" w:color="auto" w:fill="FFFFFF"/>
          <w:lang w:val="en-GB"/>
        </w:rPr>
      </w:pPr>
      <w:r w:rsidRPr="00162A1D">
        <w:rPr>
          <w:rFonts w:ascii="Arial" w:hAnsi="Arial" w:cs="Arial"/>
          <w:noProof/>
          <w:sz w:val="20"/>
          <w:szCs w:val="20"/>
          <w:shd w:val="clear" w:color="auto" w:fill="FFFFFF"/>
        </w:rPr>
        <w:drawing>
          <wp:inline distT="0" distB="0" distL="0" distR="0" wp14:anchorId="55834C07" wp14:editId="29088A67">
            <wp:extent cx="5486400" cy="3200400"/>
            <wp:effectExtent l="0" t="0" r="0" b="0"/>
            <wp:docPr id="4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248C0542" w14:textId="77777777" w:rsidR="00D23F0E" w:rsidRPr="00162A1D" w:rsidRDefault="00D23F0E" w:rsidP="00D23F0E">
      <w:pPr>
        <w:jc w:val="both"/>
        <w:rPr>
          <w:rFonts w:ascii="Arial" w:hAnsi="Arial" w:cs="Arial"/>
          <w:sz w:val="20"/>
          <w:szCs w:val="20"/>
          <w:shd w:val="clear" w:color="auto" w:fill="FFFFFF"/>
          <w:lang w:val="en-GB"/>
        </w:rPr>
      </w:pPr>
      <w:r w:rsidRPr="00162A1D">
        <w:rPr>
          <w:rFonts w:ascii="Arial" w:hAnsi="Arial" w:cs="Arial"/>
          <w:noProof/>
          <w:sz w:val="20"/>
          <w:szCs w:val="20"/>
          <w:shd w:val="clear" w:color="auto" w:fill="FFFFFF"/>
        </w:rPr>
        <w:drawing>
          <wp:inline distT="0" distB="0" distL="0" distR="0" wp14:anchorId="47B24D6F" wp14:editId="38B81E61">
            <wp:extent cx="5486400" cy="2857500"/>
            <wp:effectExtent l="0" t="0" r="25400" b="12700"/>
            <wp:docPr id="4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2AB27F3B" w14:textId="77777777" w:rsidR="00D23F0E" w:rsidRPr="00162A1D" w:rsidRDefault="00D23F0E" w:rsidP="00D23F0E">
      <w:pPr>
        <w:jc w:val="both"/>
        <w:rPr>
          <w:rFonts w:ascii="Arial" w:hAnsi="Arial" w:cs="Arial"/>
          <w:b/>
          <w:sz w:val="20"/>
          <w:szCs w:val="20"/>
          <w:shd w:val="clear" w:color="auto" w:fill="FFFFFF"/>
          <w:lang w:val="en-GB"/>
        </w:rPr>
      </w:pPr>
      <w:r w:rsidRPr="00162A1D">
        <w:rPr>
          <w:rFonts w:ascii="Arial" w:hAnsi="Arial" w:cs="Arial"/>
          <w:b/>
          <w:sz w:val="20"/>
          <w:szCs w:val="20"/>
          <w:shd w:val="clear" w:color="auto" w:fill="FFFFFF"/>
          <w:lang w:val="en-GB"/>
        </w:rPr>
        <w:t>Suggestions:</w:t>
      </w:r>
    </w:p>
    <w:p w14:paraId="1CC7D480" w14:textId="77777777" w:rsidR="00D23F0E" w:rsidRPr="00162A1D" w:rsidRDefault="00D23F0E" w:rsidP="00D23F0E">
      <w:pPr>
        <w:pStyle w:val="ListParagraph"/>
        <w:numPr>
          <w:ilvl w:val="0"/>
          <w:numId w:val="10"/>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Find durable solutions for the refugees; Integration is not well received and perceived by the Lebanese community.</w:t>
      </w:r>
    </w:p>
    <w:p w14:paraId="1E23D5D6" w14:textId="731E32F9" w:rsidR="00EA6E35" w:rsidRPr="00157815" w:rsidRDefault="00D23F0E" w:rsidP="00467AAB">
      <w:pPr>
        <w:pStyle w:val="ListParagraph"/>
        <w:numPr>
          <w:ilvl w:val="0"/>
          <w:numId w:val="10"/>
        </w:numPr>
        <w:jc w:val="both"/>
        <w:rPr>
          <w:rFonts w:ascii="Arial" w:hAnsi="Arial" w:cs="Arial"/>
          <w:sz w:val="20"/>
          <w:szCs w:val="20"/>
          <w:shd w:val="clear" w:color="auto" w:fill="FFFFFF"/>
          <w:lang w:val="en-GB"/>
        </w:rPr>
      </w:pPr>
      <w:r w:rsidRPr="00162A1D">
        <w:rPr>
          <w:rFonts w:ascii="Arial" w:hAnsi="Arial" w:cs="Arial"/>
          <w:sz w:val="20"/>
          <w:szCs w:val="20"/>
          <w:shd w:val="clear" w:color="auto" w:fill="FFFFFF"/>
          <w:lang w:val="en-GB"/>
        </w:rPr>
        <w:t>Share the work that the central level wg and leads are doing, what progress is being made, what are the challenges?</w:t>
      </w:r>
    </w:p>
    <w:sectPr w:rsidR="00EA6E35" w:rsidRPr="001578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AB4BDF" w14:textId="77777777" w:rsidR="003035EC" w:rsidRDefault="003035EC" w:rsidP="00F631F0">
      <w:pPr>
        <w:spacing w:after="0" w:line="240" w:lineRule="auto"/>
      </w:pPr>
      <w:r>
        <w:separator/>
      </w:r>
    </w:p>
  </w:endnote>
  <w:endnote w:type="continuationSeparator" w:id="0">
    <w:p w14:paraId="7932AE5C" w14:textId="77777777" w:rsidR="003035EC" w:rsidRDefault="003035EC" w:rsidP="00F63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57396" w14:textId="77777777" w:rsidR="003035EC" w:rsidRDefault="003035EC" w:rsidP="00F631F0">
      <w:pPr>
        <w:spacing w:after="0" w:line="240" w:lineRule="auto"/>
      </w:pPr>
      <w:r>
        <w:separator/>
      </w:r>
    </w:p>
  </w:footnote>
  <w:footnote w:type="continuationSeparator" w:id="0">
    <w:p w14:paraId="5E22B397" w14:textId="77777777" w:rsidR="003035EC" w:rsidRDefault="003035EC" w:rsidP="00F631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E1351"/>
    <w:multiLevelType w:val="hybridMultilevel"/>
    <w:tmpl w:val="05AAA6B0"/>
    <w:lvl w:ilvl="0" w:tplc="5E1AA5F4">
      <w:start w:val="1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974FFF"/>
    <w:multiLevelType w:val="hybridMultilevel"/>
    <w:tmpl w:val="44C48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DE2F6C"/>
    <w:multiLevelType w:val="hybridMultilevel"/>
    <w:tmpl w:val="E1EE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00B77"/>
    <w:multiLevelType w:val="hybridMultilevel"/>
    <w:tmpl w:val="0AEE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C45E70"/>
    <w:multiLevelType w:val="hybridMultilevel"/>
    <w:tmpl w:val="0A129CDE"/>
    <w:lvl w:ilvl="0" w:tplc="EFCADC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FD7215B"/>
    <w:multiLevelType w:val="hybridMultilevel"/>
    <w:tmpl w:val="A7E48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736B36"/>
    <w:multiLevelType w:val="hybridMultilevel"/>
    <w:tmpl w:val="6C707582"/>
    <w:lvl w:ilvl="0" w:tplc="5DFC2A7E">
      <w:start w:val="9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7074743"/>
    <w:multiLevelType w:val="hybridMultilevel"/>
    <w:tmpl w:val="4712F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6A4CB5"/>
    <w:multiLevelType w:val="hybridMultilevel"/>
    <w:tmpl w:val="20A6F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C63DD9"/>
    <w:multiLevelType w:val="hybridMultilevel"/>
    <w:tmpl w:val="FD5A0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9"/>
  </w:num>
  <w:num w:numId="8">
    <w:abstractNumId w:val="4"/>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A1F"/>
    <w:rsid w:val="00010294"/>
    <w:rsid w:val="00015710"/>
    <w:rsid w:val="00045E62"/>
    <w:rsid w:val="00071270"/>
    <w:rsid w:val="00072DD5"/>
    <w:rsid w:val="00074003"/>
    <w:rsid w:val="000A4504"/>
    <w:rsid w:val="000A7A1F"/>
    <w:rsid w:val="000C05CF"/>
    <w:rsid w:val="000D3706"/>
    <w:rsid w:val="00113FB5"/>
    <w:rsid w:val="00157815"/>
    <w:rsid w:val="00162A1D"/>
    <w:rsid w:val="0017356C"/>
    <w:rsid w:val="001A5E0E"/>
    <w:rsid w:val="001B5EEF"/>
    <w:rsid w:val="001C1D68"/>
    <w:rsid w:val="001E71BD"/>
    <w:rsid w:val="001F2334"/>
    <w:rsid w:val="00221D0A"/>
    <w:rsid w:val="0024443D"/>
    <w:rsid w:val="002F70A5"/>
    <w:rsid w:val="003035EC"/>
    <w:rsid w:val="00335D5A"/>
    <w:rsid w:val="0035610A"/>
    <w:rsid w:val="003A0F2F"/>
    <w:rsid w:val="003A75E5"/>
    <w:rsid w:val="00425C2C"/>
    <w:rsid w:val="00436DDC"/>
    <w:rsid w:val="004420E2"/>
    <w:rsid w:val="00467AAB"/>
    <w:rsid w:val="004D738D"/>
    <w:rsid w:val="005673A0"/>
    <w:rsid w:val="00577C5D"/>
    <w:rsid w:val="005945FD"/>
    <w:rsid w:val="005B3CA2"/>
    <w:rsid w:val="006213D1"/>
    <w:rsid w:val="00676018"/>
    <w:rsid w:val="006857D0"/>
    <w:rsid w:val="007423A6"/>
    <w:rsid w:val="007A4AF3"/>
    <w:rsid w:val="007D34C1"/>
    <w:rsid w:val="007F48F7"/>
    <w:rsid w:val="007F5C55"/>
    <w:rsid w:val="008C17D9"/>
    <w:rsid w:val="00954020"/>
    <w:rsid w:val="009F07BE"/>
    <w:rsid w:val="009F41E5"/>
    <w:rsid w:val="00A86E20"/>
    <w:rsid w:val="00A9644A"/>
    <w:rsid w:val="00AC51FF"/>
    <w:rsid w:val="00B012B8"/>
    <w:rsid w:val="00B37F89"/>
    <w:rsid w:val="00B64D97"/>
    <w:rsid w:val="00BF5C6C"/>
    <w:rsid w:val="00D23F0E"/>
    <w:rsid w:val="00D56AC2"/>
    <w:rsid w:val="00D70C77"/>
    <w:rsid w:val="00DB7CE4"/>
    <w:rsid w:val="00DE2423"/>
    <w:rsid w:val="00E144B5"/>
    <w:rsid w:val="00E348D7"/>
    <w:rsid w:val="00E83691"/>
    <w:rsid w:val="00E92C08"/>
    <w:rsid w:val="00EA6E35"/>
    <w:rsid w:val="00EE3A01"/>
    <w:rsid w:val="00EF3278"/>
    <w:rsid w:val="00F52E7B"/>
    <w:rsid w:val="00F61FF5"/>
    <w:rsid w:val="00F631F0"/>
    <w:rsid w:val="00FA7C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3C14B2"/>
  <w15:docId w15:val="{4A515646-8259-4C3C-B13A-C54F69CBF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E3A0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E3A01"/>
    <w:pPr>
      <w:keepNext/>
      <w:outlineLvl w:val="1"/>
    </w:pPr>
    <w:rPr>
      <w:rFonts w:ascii="Arial" w:hAnsi="Arial" w:cs="Arial"/>
      <w:color w:val="1F497D"/>
      <w:sz w:val="19"/>
      <w:szCs w:val="19"/>
      <w:u w:val="single"/>
      <w:shd w:val="clear" w:color="auto" w:fill="FFFFF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7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A7A1F"/>
  </w:style>
  <w:style w:type="paragraph" w:styleId="BalloonText">
    <w:name w:val="Balloon Text"/>
    <w:basedOn w:val="Normal"/>
    <w:link w:val="BalloonTextChar"/>
    <w:uiPriority w:val="99"/>
    <w:semiHidden/>
    <w:unhideWhenUsed/>
    <w:rsid w:val="006213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3D1"/>
    <w:rPr>
      <w:rFonts w:ascii="Tahoma" w:hAnsi="Tahoma" w:cs="Tahoma"/>
      <w:sz w:val="16"/>
      <w:szCs w:val="16"/>
    </w:rPr>
  </w:style>
  <w:style w:type="paragraph" w:styleId="ListParagraph">
    <w:name w:val="List Paragraph"/>
    <w:basedOn w:val="Normal"/>
    <w:uiPriority w:val="34"/>
    <w:qFormat/>
    <w:rsid w:val="000A4504"/>
    <w:pPr>
      <w:ind w:left="720"/>
      <w:contextualSpacing/>
    </w:pPr>
  </w:style>
  <w:style w:type="paragraph" w:styleId="Header">
    <w:name w:val="header"/>
    <w:basedOn w:val="Normal"/>
    <w:link w:val="HeaderChar"/>
    <w:uiPriority w:val="99"/>
    <w:unhideWhenUsed/>
    <w:rsid w:val="00F631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1F0"/>
  </w:style>
  <w:style w:type="paragraph" w:styleId="Footer">
    <w:name w:val="footer"/>
    <w:basedOn w:val="Normal"/>
    <w:link w:val="FooterChar"/>
    <w:uiPriority w:val="99"/>
    <w:unhideWhenUsed/>
    <w:rsid w:val="00F63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1F0"/>
  </w:style>
  <w:style w:type="paragraph" w:styleId="NoSpacing">
    <w:name w:val="No Spacing"/>
    <w:uiPriority w:val="1"/>
    <w:qFormat/>
    <w:rsid w:val="00F631F0"/>
    <w:pPr>
      <w:spacing w:after="0" w:line="240" w:lineRule="auto"/>
    </w:pPr>
  </w:style>
  <w:style w:type="character" w:styleId="Hyperlink">
    <w:name w:val="Hyperlink"/>
    <w:basedOn w:val="DefaultParagraphFont"/>
    <w:uiPriority w:val="99"/>
    <w:unhideWhenUsed/>
    <w:rsid w:val="000C05CF"/>
    <w:rPr>
      <w:color w:val="0000FF" w:themeColor="hyperlink"/>
      <w:u w:val="single"/>
    </w:rPr>
  </w:style>
  <w:style w:type="character" w:customStyle="1" w:styleId="Heading1Char">
    <w:name w:val="Heading 1 Char"/>
    <w:basedOn w:val="DefaultParagraphFont"/>
    <w:link w:val="Heading1"/>
    <w:uiPriority w:val="9"/>
    <w:rsid w:val="00EE3A0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E3A01"/>
    <w:rPr>
      <w:rFonts w:ascii="Arial" w:hAnsi="Arial" w:cs="Arial"/>
      <w:color w:val="1F497D"/>
      <w:sz w:val="19"/>
      <w:szCs w:val="19"/>
      <w:u w:val="singl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8975385">
      <w:bodyDiv w:val="1"/>
      <w:marLeft w:val="0"/>
      <w:marRight w:val="0"/>
      <w:marTop w:val="0"/>
      <w:marBottom w:val="0"/>
      <w:divBdr>
        <w:top w:val="none" w:sz="0" w:space="0" w:color="auto"/>
        <w:left w:val="none" w:sz="0" w:space="0" w:color="auto"/>
        <w:bottom w:val="none" w:sz="0" w:space="0" w:color="auto"/>
        <w:right w:val="none" w:sz="0" w:space="0" w:color="auto"/>
      </w:divBdr>
    </w:div>
    <w:div w:id="1424843136">
      <w:bodyDiv w:val="1"/>
      <w:marLeft w:val="0"/>
      <w:marRight w:val="0"/>
      <w:marTop w:val="0"/>
      <w:marBottom w:val="0"/>
      <w:divBdr>
        <w:top w:val="none" w:sz="0" w:space="0" w:color="auto"/>
        <w:left w:val="none" w:sz="0" w:space="0" w:color="auto"/>
        <w:bottom w:val="none" w:sz="0" w:space="0" w:color="auto"/>
        <w:right w:val="none" w:sz="0" w:space="0" w:color="auto"/>
      </w:divBdr>
    </w:div>
    <w:div w:id="1594973853">
      <w:bodyDiv w:val="1"/>
      <w:marLeft w:val="0"/>
      <w:marRight w:val="0"/>
      <w:marTop w:val="0"/>
      <w:marBottom w:val="0"/>
      <w:divBdr>
        <w:top w:val="none" w:sz="0" w:space="0" w:color="auto"/>
        <w:left w:val="none" w:sz="0" w:space="0" w:color="auto"/>
        <w:bottom w:val="none" w:sz="0" w:space="0" w:color="auto"/>
        <w:right w:val="none" w:sz="0" w:space="0" w:color="auto"/>
      </w:divBdr>
    </w:div>
    <w:div w:id="1603489621">
      <w:bodyDiv w:val="1"/>
      <w:marLeft w:val="0"/>
      <w:marRight w:val="0"/>
      <w:marTop w:val="0"/>
      <w:marBottom w:val="0"/>
      <w:divBdr>
        <w:top w:val="none" w:sz="0" w:space="0" w:color="auto"/>
        <w:left w:val="none" w:sz="0" w:space="0" w:color="auto"/>
        <w:bottom w:val="none" w:sz="0" w:space="0" w:color="auto"/>
        <w:right w:val="none" w:sz="0" w:space="0" w:color="auto"/>
      </w:divBdr>
    </w:div>
    <w:div w:id="180507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9" Type="http://schemas.openxmlformats.org/officeDocument/2006/relationships/chart" Target="charts/chart32.xml"/><Relationship Id="rId21" Type="http://schemas.openxmlformats.org/officeDocument/2006/relationships/chart" Target="charts/chart14.xml"/><Relationship Id="rId34" Type="http://schemas.openxmlformats.org/officeDocument/2006/relationships/chart" Target="charts/chart27.xml"/><Relationship Id="rId42" Type="http://schemas.openxmlformats.org/officeDocument/2006/relationships/chart" Target="charts/chart35.xml"/><Relationship Id="rId47" Type="http://schemas.openxmlformats.org/officeDocument/2006/relationships/chart" Target="charts/chart40.xml"/><Relationship Id="rId50" Type="http://schemas.openxmlformats.org/officeDocument/2006/relationships/chart" Target="charts/chart43.xml"/><Relationship Id="rId55" Type="http://schemas.openxmlformats.org/officeDocument/2006/relationships/chart" Target="charts/chart48.xml"/><Relationship Id="rId7" Type="http://schemas.openxmlformats.org/officeDocument/2006/relationships/hyperlink" Target="https://www.surveymonkey.net/results/SM-K5NGBRS9/" TargetMode="External"/><Relationship Id="rId2" Type="http://schemas.openxmlformats.org/officeDocument/2006/relationships/styles" Target="styles.xml"/><Relationship Id="rId16" Type="http://schemas.openxmlformats.org/officeDocument/2006/relationships/chart" Target="charts/chart9.xml"/><Relationship Id="rId29" Type="http://schemas.openxmlformats.org/officeDocument/2006/relationships/chart" Target="charts/chart22.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5.xml"/><Relationship Id="rId37" Type="http://schemas.openxmlformats.org/officeDocument/2006/relationships/chart" Target="charts/chart30.xml"/><Relationship Id="rId40" Type="http://schemas.openxmlformats.org/officeDocument/2006/relationships/chart" Target="charts/chart33.xml"/><Relationship Id="rId45" Type="http://schemas.openxmlformats.org/officeDocument/2006/relationships/chart" Target="charts/chart38.xml"/><Relationship Id="rId53" Type="http://schemas.openxmlformats.org/officeDocument/2006/relationships/chart" Target="charts/chart46.xml"/><Relationship Id="rId5" Type="http://schemas.openxmlformats.org/officeDocument/2006/relationships/footnotes" Target="footnotes.xml"/><Relationship Id="rId19" Type="http://schemas.openxmlformats.org/officeDocument/2006/relationships/chart" Target="charts/chart1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 Id="rId35" Type="http://schemas.openxmlformats.org/officeDocument/2006/relationships/chart" Target="charts/chart28.xml"/><Relationship Id="rId43" Type="http://schemas.openxmlformats.org/officeDocument/2006/relationships/chart" Target="charts/chart36.xml"/><Relationship Id="rId48" Type="http://schemas.openxmlformats.org/officeDocument/2006/relationships/chart" Target="charts/chart41.xml"/><Relationship Id="rId56" Type="http://schemas.openxmlformats.org/officeDocument/2006/relationships/fontTable" Target="fontTable.xml"/><Relationship Id="rId8" Type="http://schemas.openxmlformats.org/officeDocument/2006/relationships/chart" Target="charts/chart1.xml"/><Relationship Id="rId51" Type="http://schemas.openxmlformats.org/officeDocument/2006/relationships/chart" Target="charts/chart44.xml"/><Relationship Id="rId3" Type="http://schemas.openxmlformats.org/officeDocument/2006/relationships/settings" Target="setting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chart" Target="charts/chart26.xml"/><Relationship Id="rId38" Type="http://schemas.openxmlformats.org/officeDocument/2006/relationships/chart" Target="charts/chart31.xml"/><Relationship Id="rId46" Type="http://schemas.openxmlformats.org/officeDocument/2006/relationships/chart" Target="charts/chart39.xml"/><Relationship Id="rId20" Type="http://schemas.openxmlformats.org/officeDocument/2006/relationships/chart" Target="charts/chart13.xml"/><Relationship Id="rId41" Type="http://schemas.openxmlformats.org/officeDocument/2006/relationships/chart" Target="charts/chart34.xml"/><Relationship Id="rId54" Type="http://schemas.openxmlformats.org/officeDocument/2006/relationships/chart" Target="charts/chart4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chart" Target="charts/chart29.xml"/><Relationship Id="rId49" Type="http://schemas.openxmlformats.org/officeDocument/2006/relationships/chart" Target="charts/chart42.xml"/><Relationship Id="rId57" Type="http://schemas.openxmlformats.org/officeDocument/2006/relationships/theme" Target="theme/theme1.xml"/><Relationship Id="rId10" Type="http://schemas.openxmlformats.org/officeDocument/2006/relationships/chart" Target="charts/chart3.xml"/><Relationship Id="rId31" Type="http://schemas.openxmlformats.org/officeDocument/2006/relationships/chart" Target="charts/chart24.xml"/><Relationship Id="rId44" Type="http://schemas.openxmlformats.org/officeDocument/2006/relationships/chart" Target="charts/chart37.xml"/><Relationship Id="rId52" Type="http://schemas.openxmlformats.org/officeDocument/2006/relationships/chart" Target="charts/chart45.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Mainstreaming%20survey:Social%20Stability%20Mainstreaming%20Survey%20Results%20for%20Analysi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Mainstreaming%20survey:Social%20Stability%20Mainstreaming%20Survey%20Results%20for%20Analysi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Mainstreaming%20survey:Social%20Stability%20Mainstreaming%20Survey%20Results%20for%20Analysis.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Mainstreaming%20survey:Social%20Stability%20Mainstreaming%20Survey%20Results%20for%20Analysis.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Mainstreaming%20survey:Social%20Stability%20Mainstreaming%20Survey%20Results%20for%20Analysis.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Mainstreaming%20survey:Social%20Stability%20Mainstreaming%20Survey%20Results%20for%20Analysis.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Mainstreaming%20survey:Social%20Stability%20Mainstreaming%20Survey%20Results%20for%20Analysis.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Social%20Stability%20Mainstreaming%20Survey%20Results%20for%20Analysis.docx.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Social%20Stability%20Mainstreaming%20Survey%20Results%20for%20Analysis.docx.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Social%20Stability%20Mainstreaming%20Survey%20Results%20for%20Analysis.docx.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Social%20Stability%20Mainstreaming%20Survey%20Results%20for%20Analysis.docx.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Social%20Stability%20Mainstreaming%20Survey%20Results%20for%20Analysis.docx.xls"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Social%20Stability%20Mainstreaming%20Survey%20Results%20for%20Analysis.docx.xls"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Social%20Stability%20Mainstreaming%20Survey%20Results%20for%20Analysis.docx.xls"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Macintosh%20HD:Users:bastienrevel:Dropbox:SCLH:Other%20sectors%20and%20Mainstreaming:Social%20Stability%20Mainstreaming%20Survey%20Results%20for%20Analysis.docx.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Macintosh%20HD:Users:sabine:Desktop:Social%20Stability%20Mainstreaming%20Survey%20Results%20for%20Analysis.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Macintosh%20HD:Users:sabine:Documents:Microsoft%20User%20Data:Office%202011%20AutoRecovery:Social%20Stability%20Mainstreaming%20Survey%20Results%20for%20Analysis%20(version%201).xls"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Macintosh%20HD:Users:sabine:Documents:Microsoft%20User%20Data:Office%202011%20AutoRecovery:Social%20Stability%20Mainstreaming%20Survey%20Results%20for%20Analysis%20(version%201).xls"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Macintosh%20HD:Users:sabine:Documents:Microsoft%20User%20Data:Office%202011%20AutoRecovery:Social%20Stability%20Mainstreaming%20Survey%20Results%20for%20Analysis%20(version%201).xls"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Macintosh%20HD:Users:sabine:Documents:Microsoft%20User%20Data:Office%202011%20AutoRecovery:Social%20Stability%20Mainstreaming%20Survey%20Results%20for%20Analysis%20(version%201).xls"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mortmans\AppData\Local\Temp\Rar$DIa0.084\Social%20Stability%20Mainstreaming%20Survey%20Results%20for%20Analysis.docx.xls"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mortmans\AppData\Local\Temp\Rar$DIa0.084\Social%20Stability%20Mainstreaming%20Survey%20Results%20for%20Analysis.docx.xls"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mortmans\AppData\Local\Temp\Rar$DIa0.084\Social%20Stability%20Mainstreaming%20Survey%20Results%20for%20Analysis.docx.xls" TargetMode="External"/></Relationships>
</file>

<file path=word/charts/_rels/chart24.xml.rels><?xml version="1.0" encoding="UTF-8" standalone="yes"?>
<Relationships xmlns="http://schemas.openxmlformats.org/package/2006/relationships"><Relationship Id="rId2" Type="http://schemas.openxmlformats.org/officeDocument/2006/relationships/oleObject" Target="file:///C:\Users\UNHCRuser\Desktop\Social%20Stability%20Mainstreaming%20Survey%20Results%20for%20Analysis%20Protection.xls" TargetMode="External"/><Relationship Id="rId1" Type="http://schemas.openxmlformats.org/officeDocument/2006/relationships/themeOverride" Target="../theme/themeOverride1.xml"/></Relationships>
</file>

<file path=word/charts/_rels/chart25.xml.rels><?xml version="1.0" encoding="UTF-8" standalone="yes"?>
<Relationships xmlns="http://schemas.openxmlformats.org/package/2006/relationships"><Relationship Id="rId2" Type="http://schemas.openxmlformats.org/officeDocument/2006/relationships/oleObject" Target="file:///C:\Users\UNHCRuser\Desktop\Social%20Stability%20Mainstreaming%20Survey%20Results%20for%20Analysis%20Protection.xls" TargetMode="External"/><Relationship Id="rId1" Type="http://schemas.openxmlformats.org/officeDocument/2006/relationships/themeOverride" Target="../theme/themeOverride2.xml"/></Relationships>
</file>

<file path=word/charts/_rels/chart26.xml.rels><?xml version="1.0" encoding="UTF-8" standalone="yes"?>
<Relationships xmlns="http://schemas.openxmlformats.org/package/2006/relationships"><Relationship Id="rId2" Type="http://schemas.openxmlformats.org/officeDocument/2006/relationships/oleObject" Target="file:///C:\Users\UNHCRuser\Desktop\Social%20Stability%20Mainstreaming%20Survey%20Results%20for%20Analysis%20Protection.xls" TargetMode="External"/><Relationship Id="rId1" Type="http://schemas.openxmlformats.org/officeDocument/2006/relationships/themeOverride" Target="../theme/themeOverride3.xml"/></Relationships>
</file>

<file path=word/charts/_rels/chart27.xml.rels><?xml version="1.0" encoding="UTF-8" standalone="yes"?>
<Relationships xmlns="http://schemas.openxmlformats.org/package/2006/relationships"><Relationship Id="rId2" Type="http://schemas.openxmlformats.org/officeDocument/2006/relationships/oleObject" Target="file:///C:\Users\UNHCRuser\Desktop\Social%20Stability%20Mainstreaming%20Survey%20Results%20for%20Analysis%20Protection.xls" TargetMode="External"/><Relationship Id="rId1" Type="http://schemas.openxmlformats.org/officeDocument/2006/relationships/themeOverride" Target="../theme/themeOverride4.xml"/></Relationships>
</file>

<file path=word/charts/_rels/chart28.xml.rels><?xml version="1.0" encoding="UTF-8" standalone="yes"?>
<Relationships xmlns="http://schemas.openxmlformats.org/package/2006/relationships"><Relationship Id="rId2" Type="http://schemas.openxmlformats.org/officeDocument/2006/relationships/oleObject" Target="file:///C:\Users\UNHCRuser\Desktop\Social%20Stability%20Mainstreaming%20Survey%20Results%20for%20Analysis%20Protection.xls" TargetMode="External"/><Relationship Id="rId1" Type="http://schemas.openxmlformats.org/officeDocument/2006/relationships/themeOverride" Target="../theme/themeOverride5.xml"/></Relationships>
</file>

<file path=word/charts/_rels/chart29.xml.rels><?xml version="1.0" encoding="UTF-8" standalone="yes"?>
<Relationships xmlns="http://schemas.openxmlformats.org/package/2006/relationships"><Relationship Id="rId1" Type="http://schemas.openxmlformats.org/officeDocument/2006/relationships/oleObject" Target="file:///C:\Users\User\AppData\Local\Microsoft\Windows\INetCache\Content.Outlook\0P6JZ373\Social%20Stability%20Mainstreaming%20Survey%20Results%20for%20Analysis%20docx.xls"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User\AppData\Local\Microsoft\Windows\INetCache\Content.Outlook\0P6JZ373\Social%20Stability%20Mainstreaming%20Survey%20Results%20for%20Analysis%20docx.xls"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User\AppData\Local\Microsoft\Windows\INetCache\Content.Outlook\0P6JZ373\Social%20Stability%20Mainstreaming%20Survey%20Results%20for%20Analysis%20docx.xls"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User\AppData\Local\Microsoft\Windows\INetCache\Content.Outlook\0P6JZ373\Social%20Stability%20Mainstreaming%20Survey%20Results%20for%20Analysis%20docx.xls"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User\AppData\Local\Microsoft\Windows\INetCache\Content.Outlook\0P6JZ373\Social%20Stability%20Mainstreaming%20Survey%20Results%20for%20Analysis%20docx.xls"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User\AppData\Local\Microsoft\Windows\INetCache\Content.Outlook\0P6JZ373\Social%20Stability%20Mainstreaming%20Survey%20Results%20for%20Analysis%20docx.xls"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User\AppData\Local\Microsoft\Windows\INetCache\Content.Outlook\0P6JZ373\Social%20Stability%20Mainstreaming%20Survey%20Results%20for%20Analysis%20docx.xls"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User\AppData\Local\Microsoft\Windows\INetCache\Content.Outlook\0P6JZ373\Social%20Stability%20Mainstreaming%20Survey%20Results%20for%20Analysis%20docx.xls"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Ilana\Documents\Social%20Cohesion\Survey%20on%20Social%20Stability\Social%20Stability%20Mainstreaming%20Survey%20Results%20for%20Analysis.xls"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Ilana\Documents\Social%20Cohesion\Survey%20on%20Social%20Stability\Social%20Stability%20Mainstreaming%20Survey%20Results%20for%20Analysis.xls"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Ilana\Documents\Social%20Cohesion\Survey%20on%20Social%20Stability\Social%20Stability%20Mainstreaming%20Survey%20Results%20for%20Analysis.xls"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Ilana\Documents\Social%20Cohesion\Survey%20on%20Social%20Stability\Social%20Stability%20Mainstreaming%20Survey%20Results%20for%20Analysis.xls"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C:\Users\Ilana\Documents\Social%20Cohesion\Survey%20on%20Social%20Stability\Social%20Stability%20Mainstreaming%20Survey%20Results%20for%20Analysis.xls"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C:\Users\Ilana\Documents\Social%20Cohesion\Survey%20on%20Social%20Stability\Social%20Stability%20Mainstreaming%20Survey%20Results%20for%20Analysis.xls"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6.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47.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8.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400"/>
            </a:pPr>
            <a:r>
              <a:rPr lang="fr-FR" sz="1400"/>
              <a:t>Knowledge of conflict issues per type or organization</a:t>
            </a:r>
          </a:p>
        </c:rich>
      </c:tx>
      <c:overlay val="0"/>
    </c:title>
    <c:autoTitleDeleted val="0"/>
    <c:plotArea>
      <c:layout/>
      <c:barChart>
        <c:barDir val="bar"/>
        <c:grouping val="clustered"/>
        <c:varyColors val="0"/>
        <c:ser>
          <c:idx val="0"/>
          <c:order val="0"/>
          <c:tx>
            <c:strRef>
              <c:f>Master!$AF$95</c:f>
              <c:strCache>
                <c:ptCount val="1"/>
                <c:pt idx="0">
                  <c:v>overall</c:v>
                </c:pt>
              </c:strCache>
            </c:strRef>
          </c:tx>
          <c:invertIfNegative val="0"/>
          <c:cat>
            <c:strRef>
              <c:f>Master!$AG$94:$AL$94</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Master!$AG$95:$AL$95</c:f>
              <c:numCache>
                <c:formatCode>0.00</c:formatCode>
                <c:ptCount val="6"/>
                <c:pt idx="0">
                  <c:v>3.5526315789473681</c:v>
                </c:pt>
                <c:pt idx="1">
                  <c:v>3.9605263157894739</c:v>
                </c:pt>
                <c:pt idx="2">
                  <c:v>3.447368421052631</c:v>
                </c:pt>
                <c:pt idx="3">
                  <c:v>3.4342105263157889</c:v>
                </c:pt>
                <c:pt idx="4">
                  <c:v>3.5921052631578951</c:v>
                </c:pt>
                <c:pt idx="5">
                  <c:v>3.447368421052631</c:v>
                </c:pt>
              </c:numCache>
            </c:numRef>
          </c:val>
        </c:ser>
        <c:ser>
          <c:idx val="1"/>
          <c:order val="1"/>
          <c:tx>
            <c:strRef>
              <c:f>Master!$AF$96</c:f>
              <c:strCache>
                <c:ptCount val="1"/>
                <c:pt idx="0">
                  <c:v>INGOs</c:v>
                </c:pt>
              </c:strCache>
            </c:strRef>
          </c:tx>
          <c:invertIfNegative val="0"/>
          <c:cat>
            <c:strRef>
              <c:f>Master!$AG$94:$AL$94</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Master!$AG$96:$AL$96</c:f>
              <c:numCache>
                <c:formatCode>0.00</c:formatCode>
                <c:ptCount val="6"/>
                <c:pt idx="0">
                  <c:v>3.4333333333333331</c:v>
                </c:pt>
                <c:pt idx="1">
                  <c:v>3.7666666666666671</c:v>
                </c:pt>
                <c:pt idx="2">
                  <c:v>3.3666666666666671</c:v>
                </c:pt>
                <c:pt idx="3">
                  <c:v>3.2666666666666671</c:v>
                </c:pt>
                <c:pt idx="4">
                  <c:v>3.5333333333333332</c:v>
                </c:pt>
                <c:pt idx="5">
                  <c:v>3.4333333333333331</c:v>
                </c:pt>
              </c:numCache>
            </c:numRef>
          </c:val>
        </c:ser>
        <c:ser>
          <c:idx val="2"/>
          <c:order val="2"/>
          <c:tx>
            <c:strRef>
              <c:f>Master!$AF$97</c:f>
              <c:strCache>
                <c:ptCount val="1"/>
                <c:pt idx="0">
                  <c:v>UN</c:v>
                </c:pt>
              </c:strCache>
            </c:strRef>
          </c:tx>
          <c:invertIfNegative val="0"/>
          <c:cat>
            <c:strRef>
              <c:f>Master!$AG$94:$AL$94</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Master!$AG$97:$AL$97</c:f>
              <c:numCache>
                <c:formatCode>0.00</c:formatCode>
                <c:ptCount val="6"/>
                <c:pt idx="0">
                  <c:v>3.2352941176470589</c:v>
                </c:pt>
                <c:pt idx="1">
                  <c:v>3.7647058823529411</c:v>
                </c:pt>
                <c:pt idx="2">
                  <c:v>3.3529411764705879</c:v>
                </c:pt>
                <c:pt idx="3">
                  <c:v>3.1764705882352939</c:v>
                </c:pt>
                <c:pt idx="4">
                  <c:v>3.3529411764705879</c:v>
                </c:pt>
                <c:pt idx="5">
                  <c:v>3.2941176470588229</c:v>
                </c:pt>
              </c:numCache>
            </c:numRef>
          </c:val>
        </c:ser>
        <c:ser>
          <c:idx val="3"/>
          <c:order val="3"/>
          <c:tx>
            <c:strRef>
              <c:f>Master!$AF$98</c:f>
              <c:strCache>
                <c:ptCount val="1"/>
                <c:pt idx="0">
                  <c:v>LNGOs</c:v>
                </c:pt>
              </c:strCache>
            </c:strRef>
          </c:tx>
          <c:invertIfNegative val="0"/>
          <c:cat>
            <c:strRef>
              <c:f>Master!$AG$94:$AL$94</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Master!$AG$98:$AL$98</c:f>
              <c:numCache>
                <c:formatCode>0.00</c:formatCode>
                <c:ptCount val="6"/>
                <c:pt idx="0">
                  <c:v>4.1875</c:v>
                </c:pt>
                <c:pt idx="1">
                  <c:v>4.4375</c:v>
                </c:pt>
                <c:pt idx="2">
                  <c:v>4</c:v>
                </c:pt>
                <c:pt idx="3">
                  <c:v>3.9375</c:v>
                </c:pt>
                <c:pt idx="4">
                  <c:v>3.9375</c:v>
                </c:pt>
                <c:pt idx="5">
                  <c:v>3.625</c:v>
                </c:pt>
              </c:numCache>
            </c:numRef>
          </c:val>
        </c:ser>
        <c:dLbls>
          <c:showLegendKey val="0"/>
          <c:showVal val="0"/>
          <c:showCatName val="0"/>
          <c:showSerName val="0"/>
          <c:showPercent val="0"/>
          <c:showBubbleSize val="0"/>
        </c:dLbls>
        <c:gapWidth val="150"/>
        <c:axId val="381412464"/>
        <c:axId val="381411920"/>
      </c:barChart>
      <c:catAx>
        <c:axId val="381412464"/>
        <c:scaling>
          <c:orientation val="minMax"/>
        </c:scaling>
        <c:delete val="0"/>
        <c:axPos val="l"/>
        <c:numFmt formatCode="General" sourceLinked="1"/>
        <c:majorTickMark val="none"/>
        <c:minorTickMark val="none"/>
        <c:tickLblPos val="nextTo"/>
        <c:crossAx val="381411920"/>
        <c:crosses val="autoZero"/>
        <c:auto val="1"/>
        <c:lblAlgn val="ctr"/>
        <c:lblOffset val="100"/>
        <c:noMultiLvlLbl val="0"/>
      </c:catAx>
      <c:valAx>
        <c:axId val="381411920"/>
        <c:scaling>
          <c:orientation val="minMax"/>
          <c:min val="2"/>
        </c:scaling>
        <c:delete val="0"/>
        <c:axPos val="b"/>
        <c:majorGridlines/>
        <c:numFmt formatCode="0.00" sourceLinked="1"/>
        <c:majorTickMark val="none"/>
        <c:minorTickMark val="none"/>
        <c:tickLblPos val="nextTo"/>
        <c:crossAx val="38141246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400"/>
            </a:pPr>
            <a:r>
              <a:rPr lang="fr-FR" sz="1400"/>
              <a:t>Knowledge</a:t>
            </a:r>
            <a:r>
              <a:rPr lang="fr-FR" sz="1400" baseline="0"/>
              <a:t> of conflict issues - Social stability partners vs. others</a:t>
            </a:r>
            <a:endParaRPr lang="fr-FR" sz="1400"/>
          </a:p>
        </c:rich>
      </c:tx>
      <c:overlay val="0"/>
    </c:title>
    <c:autoTitleDeleted val="0"/>
    <c:plotArea>
      <c:layout/>
      <c:barChart>
        <c:barDir val="bar"/>
        <c:grouping val="clustered"/>
        <c:varyColors val="0"/>
        <c:ser>
          <c:idx val="0"/>
          <c:order val="0"/>
          <c:tx>
            <c:strRef>
              <c:f>Master!$AF$144</c:f>
              <c:strCache>
                <c:ptCount val="1"/>
                <c:pt idx="0">
                  <c:v>SoSt</c:v>
                </c:pt>
              </c:strCache>
            </c:strRef>
          </c:tx>
          <c:invertIfNegative val="0"/>
          <c:cat>
            <c:strRef>
              <c:f>Master!$AG$143:$AL$143</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Master!$AG$144:$AL$144</c:f>
              <c:numCache>
                <c:formatCode>0.00</c:formatCode>
                <c:ptCount val="6"/>
                <c:pt idx="0">
                  <c:v>3.6018247979016169</c:v>
                </c:pt>
                <c:pt idx="1">
                  <c:v>4.0069580968352243</c:v>
                </c:pt>
                <c:pt idx="2">
                  <c:v>3.5347867217062259</c:v>
                </c:pt>
                <c:pt idx="3">
                  <c:v>3.4547599544203651</c:v>
                </c:pt>
                <c:pt idx="4">
                  <c:v>3.6333082860337118</c:v>
                </c:pt>
                <c:pt idx="5">
                  <c:v>3.4782957086343309</c:v>
                </c:pt>
              </c:numCache>
            </c:numRef>
          </c:val>
        </c:ser>
        <c:ser>
          <c:idx val="1"/>
          <c:order val="1"/>
          <c:tx>
            <c:strRef>
              <c:f>Master!$AF$145</c:f>
              <c:strCache>
                <c:ptCount val="1"/>
                <c:pt idx="0">
                  <c:v>Non SoSt</c:v>
                </c:pt>
              </c:strCache>
            </c:strRef>
          </c:tx>
          <c:invertIfNegative val="0"/>
          <c:cat>
            <c:strRef>
              <c:f>Master!$AG$143:$AL$143</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Master!$AG$145:$AL$145</c:f>
              <c:numCache>
                <c:formatCode>0.00</c:formatCode>
                <c:ptCount val="6"/>
                <c:pt idx="0">
                  <c:v>3.38</c:v>
                </c:pt>
                <c:pt idx="1">
                  <c:v>3.76</c:v>
                </c:pt>
                <c:pt idx="2">
                  <c:v>3.34</c:v>
                </c:pt>
                <c:pt idx="3">
                  <c:v>3.17</c:v>
                </c:pt>
                <c:pt idx="4">
                  <c:v>3.62</c:v>
                </c:pt>
                <c:pt idx="5">
                  <c:v>3.34</c:v>
                </c:pt>
              </c:numCache>
            </c:numRef>
          </c:val>
        </c:ser>
        <c:dLbls>
          <c:showLegendKey val="0"/>
          <c:showVal val="0"/>
          <c:showCatName val="0"/>
          <c:showSerName val="0"/>
          <c:showPercent val="0"/>
          <c:showBubbleSize val="0"/>
        </c:dLbls>
        <c:gapWidth val="150"/>
        <c:axId val="381413008"/>
        <c:axId val="381413552"/>
      </c:barChart>
      <c:catAx>
        <c:axId val="381413008"/>
        <c:scaling>
          <c:orientation val="minMax"/>
        </c:scaling>
        <c:delete val="0"/>
        <c:axPos val="l"/>
        <c:numFmt formatCode="General" sourceLinked="0"/>
        <c:majorTickMark val="out"/>
        <c:minorTickMark val="none"/>
        <c:tickLblPos val="nextTo"/>
        <c:crossAx val="381413552"/>
        <c:crosses val="autoZero"/>
        <c:auto val="1"/>
        <c:lblAlgn val="ctr"/>
        <c:lblOffset val="100"/>
        <c:noMultiLvlLbl val="0"/>
      </c:catAx>
      <c:valAx>
        <c:axId val="381413552"/>
        <c:scaling>
          <c:orientation val="minMax"/>
          <c:min val="3"/>
        </c:scaling>
        <c:delete val="0"/>
        <c:axPos val="b"/>
        <c:majorGridlines/>
        <c:numFmt formatCode="0.00" sourceLinked="1"/>
        <c:majorTickMark val="out"/>
        <c:minorTickMark val="none"/>
        <c:tickLblPos val="nextTo"/>
        <c:crossAx val="38141300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400"/>
            </a:pPr>
            <a:r>
              <a:rPr lang="fr-FR" sz="1400"/>
              <a:t>Organization</a:t>
            </a:r>
            <a:r>
              <a:rPr lang="fr-FR" sz="1400" baseline="0"/>
              <a:t>s considering contributing to social stability</a:t>
            </a:r>
            <a:endParaRPr lang="fr-FR" sz="1400"/>
          </a:p>
        </c:rich>
      </c:tx>
      <c:layout>
        <c:manualLayout>
          <c:xMode val="edge"/>
          <c:yMode val="edge"/>
          <c:x val="0.20619464233637499"/>
          <c:y val="2.5231846019247599E-2"/>
        </c:manualLayout>
      </c:layout>
      <c:overlay val="0"/>
    </c:title>
    <c:autoTitleDeleted val="0"/>
    <c:plotArea>
      <c:layout/>
      <c:barChart>
        <c:barDir val="bar"/>
        <c:grouping val="clustered"/>
        <c:varyColors val="0"/>
        <c:ser>
          <c:idx val="0"/>
          <c:order val="0"/>
          <c:tx>
            <c:strRef>
              <c:f>Master!$BU$95</c:f>
              <c:strCache>
                <c:ptCount val="1"/>
                <c:pt idx="0">
                  <c:v>overall</c:v>
                </c:pt>
              </c:strCache>
            </c:strRef>
          </c:tx>
          <c:invertIfNegative val="0"/>
          <c:cat>
            <c:strRef>
              <c:f>Master!$BV$94:$CB$94</c:f>
              <c:strCache>
                <c:ptCount val="7"/>
                <c:pt idx="0">
                  <c:v>My organization contributes to social Stability</c:v>
                </c:pt>
                <c:pt idx="1">
                  <c:v>My organization implements specific social stability programs (under the Social Stability Sector);</c:v>
                </c:pt>
                <c:pt idx="2">
                  <c:v>Our programs target host communities as well as refugee communities;</c:v>
                </c:pt>
                <c:pt idx="3">
                  <c:v>Our programs contribute to strengthening the role of local institutions and authorities (municipalities, SDCs) to manage the crisis;</c:v>
                </c:pt>
                <c:pt idx="4">
                  <c:v>Our programs support the delivery of basic services to decrease tensions related to pressure on basic services;</c:v>
                </c:pt>
                <c:pt idx="5">
                  <c:v>Our programs bring members from different communities together as part of our activities and builds trust between and within communities;</c:v>
                </c:pt>
                <c:pt idx="6">
                  <c:v>Our programs promote social stability values (civic engagement, volunteering, tolerance and peaceful coexistence, conflict mediation and resolution).</c:v>
                </c:pt>
              </c:strCache>
            </c:strRef>
          </c:cat>
          <c:val>
            <c:numRef>
              <c:f>Master!$BV$95:$CB$95</c:f>
              <c:numCache>
                <c:formatCode>0%</c:formatCode>
                <c:ptCount val="7"/>
                <c:pt idx="0">
                  <c:v>0.60439560439560402</c:v>
                </c:pt>
                <c:pt idx="1">
                  <c:v>0.28571428571428598</c:v>
                </c:pt>
                <c:pt idx="2">
                  <c:v>0.49450549450549403</c:v>
                </c:pt>
                <c:pt idx="3">
                  <c:v>0.48351648351648302</c:v>
                </c:pt>
                <c:pt idx="4">
                  <c:v>0.40659340659340698</c:v>
                </c:pt>
                <c:pt idx="5">
                  <c:v>0.42857142857142899</c:v>
                </c:pt>
                <c:pt idx="6">
                  <c:v>0.35164835164835201</c:v>
                </c:pt>
              </c:numCache>
            </c:numRef>
          </c:val>
        </c:ser>
        <c:ser>
          <c:idx val="1"/>
          <c:order val="1"/>
          <c:tx>
            <c:strRef>
              <c:f>Master!$BU$96</c:f>
              <c:strCache>
                <c:ptCount val="1"/>
                <c:pt idx="0">
                  <c:v>INGOs</c:v>
                </c:pt>
              </c:strCache>
            </c:strRef>
          </c:tx>
          <c:invertIfNegative val="0"/>
          <c:cat>
            <c:strRef>
              <c:f>Master!$BV$94:$CB$94</c:f>
              <c:strCache>
                <c:ptCount val="7"/>
                <c:pt idx="0">
                  <c:v>My organization contributes to social Stability</c:v>
                </c:pt>
                <c:pt idx="1">
                  <c:v>My organization implements specific social stability programs (under the Social Stability Sector);</c:v>
                </c:pt>
                <c:pt idx="2">
                  <c:v>Our programs target host communities as well as refugee communities;</c:v>
                </c:pt>
                <c:pt idx="3">
                  <c:v>Our programs contribute to strengthening the role of local institutions and authorities (municipalities, SDCs) to manage the crisis;</c:v>
                </c:pt>
                <c:pt idx="4">
                  <c:v>Our programs support the delivery of basic services to decrease tensions related to pressure on basic services;</c:v>
                </c:pt>
                <c:pt idx="5">
                  <c:v>Our programs bring members from different communities together as part of our activities and builds trust between and within communities;</c:v>
                </c:pt>
                <c:pt idx="6">
                  <c:v>Our programs promote social stability values (civic engagement, volunteering, tolerance and peaceful coexistence, conflict mediation and resolution).</c:v>
                </c:pt>
              </c:strCache>
            </c:strRef>
          </c:cat>
          <c:val>
            <c:numRef>
              <c:f>Master!$BV$96:$CB$96</c:f>
              <c:numCache>
                <c:formatCode>0%</c:formatCode>
                <c:ptCount val="7"/>
                <c:pt idx="0">
                  <c:v>0.60975609756097604</c:v>
                </c:pt>
                <c:pt idx="1">
                  <c:v>0.26829268292682901</c:v>
                </c:pt>
                <c:pt idx="2">
                  <c:v>0.56097560975609795</c:v>
                </c:pt>
                <c:pt idx="3">
                  <c:v>0.53658536585365901</c:v>
                </c:pt>
                <c:pt idx="4">
                  <c:v>0.41463414634146301</c:v>
                </c:pt>
                <c:pt idx="5">
                  <c:v>0.34146341463414598</c:v>
                </c:pt>
                <c:pt idx="6">
                  <c:v>0.26829268292682901</c:v>
                </c:pt>
              </c:numCache>
            </c:numRef>
          </c:val>
        </c:ser>
        <c:ser>
          <c:idx val="2"/>
          <c:order val="2"/>
          <c:tx>
            <c:strRef>
              <c:f>Master!$BU$97</c:f>
              <c:strCache>
                <c:ptCount val="1"/>
                <c:pt idx="0">
                  <c:v>UN</c:v>
                </c:pt>
              </c:strCache>
            </c:strRef>
          </c:tx>
          <c:invertIfNegative val="0"/>
          <c:cat>
            <c:strRef>
              <c:f>Master!$BV$94:$CB$94</c:f>
              <c:strCache>
                <c:ptCount val="7"/>
                <c:pt idx="0">
                  <c:v>My organization contributes to social Stability</c:v>
                </c:pt>
                <c:pt idx="1">
                  <c:v>My organization implements specific social stability programs (under the Social Stability Sector);</c:v>
                </c:pt>
                <c:pt idx="2">
                  <c:v>Our programs target host communities as well as refugee communities;</c:v>
                </c:pt>
                <c:pt idx="3">
                  <c:v>Our programs contribute to strengthening the role of local institutions and authorities (municipalities, SDCs) to manage the crisis;</c:v>
                </c:pt>
                <c:pt idx="4">
                  <c:v>Our programs support the delivery of basic services to decrease tensions related to pressure on basic services;</c:v>
                </c:pt>
                <c:pt idx="5">
                  <c:v>Our programs bring members from different communities together as part of our activities and builds trust between and within communities;</c:v>
                </c:pt>
                <c:pt idx="6">
                  <c:v>Our programs promote social stability values (civic engagement, volunteering, tolerance and peaceful coexistence, conflict mediation and resolution).</c:v>
                </c:pt>
              </c:strCache>
            </c:strRef>
          </c:cat>
          <c:val>
            <c:numRef>
              <c:f>Master!$BV$97:$CB$97</c:f>
              <c:numCache>
                <c:formatCode>0%</c:formatCode>
                <c:ptCount val="7"/>
                <c:pt idx="0">
                  <c:v>0.68421052631578905</c:v>
                </c:pt>
                <c:pt idx="1">
                  <c:v>0.52631578947368396</c:v>
                </c:pt>
                <c:pt idx="2">
                  <c:v>0.47368421052631599</c:v>
                </c:pt>
                <c:pt idx="3">
                  <c:v>0.63157894736842102</c:v>
                </c:pt>
                <c:pt idx="4">
                  <c:v>0.42105263157894701</c:v>
                </c:pt>
                <c:pt idx="5">
                  <c:v>0.52631578947368396</c:v>
                </c:pt>
                <c:pt idx="6">
                  <c:v>0.47368421052631599</c:v>
                </c:pt>
              </c:numCache>
            </c:numRef>
          </c:val>
        </c:ser>
        <c:ser>
          <c:idx val="3"/>
          <c:order val="3"/>
          <c:tx>
            <c:strRef>
              <c:f>Master!$BU$98</c:f>
              <c:strCache>
                <c:ptCount val="1"/>
                <c:pt idx="0">
                  <c:v>LNGOs</c:v>
                </c:pt>
              </c:strCache>
            </c:strRef>
          </c:tx>
          <c:invertIfNegative val="0"/>
          <c:cat>
            <c:strRef>
              <c:f>Master!$BV$94:$CB$94</c:f>
              <c:strCache>
                <c:ptCount val="7"/>
                <c:pt idx="0">
                  <c:v>My organization contributes to social Stability</c:v>
                </c:pt>
                <c:pt idx="1">
                  <c:v>My organization implements specific social stability programs (under the Social Stability Sector);</c:v>
                </c:pt>
                <c:pt idx="2">
                  <c:v>Our programs target host communities as well as refugee communities;</c:v>
                </c:pt>
                <c:pt idx="3">
                  <c:v>Our programs contribute to strengthening the role of local institutions and authorities (municipalities, SDCs) to manage the crisis;</c:v>
                </c:pt>
                <c:pt idx="4">
                  <c:v>Our programs support the delivery of basic services to decrease tensions related to pressure on basic services;</c:v>
                </c:pt>
                <c:pt idx="5">
                  <c:v>Our programs bring members from different communities together as part of our activities and builds trust between and within communities;</c:v>
                </c:pt>
                <c:pt idx="6">
                  <c:v>Our programs promote social stability values (civic engagement, volunteering, tolerance and peaceful coexistence, conflict mediation and resolution).</c:v>
                </c:pt>
              </c:strCache>
            </c:strRef>
          </c:cat>
          <c:val>
            <c:numRef>
              <c:f>Master!$BV$98:$CB$98</c:f>
              <c:numCache>
                <c:formatCode>0%</c:formatCode>
                <c:ptCount val="7"/>
                <c:pt idx="0">
                  <c:v>0.57894736842105299</c:v>
                </c:pt>
                <c:pt idx="1">
                  <c:v>0.57894736842105299</c:v>
                </c:pt>
                <c:pt idx="2">
                  <c:v>0.52631578947368396</c:v>
                </c:pt>
                <c:pt idx="3">
                  <c:v>0.31578947368421001</c:v>
                </c:pt>
                <c:pt idx="4">
                  <c:v>0.42105263157894701</c:v>
                </c:pt>
                <c:pt idx="5">
                  <c:v>0.52631578947368396</c:v>
                </c:pt>
                <c:pt idx="6">
                  <c:v>0.42105263157894701</c:v>
                </c:pt>
              </c:numCache>
            </c:numRef>
          </c:val>
        </c:ser>
        <c:dLbls>
          <c:showLegendKey val="0"/>
          <c:showVal val="0"/>
          <c:showCatName val="0"/>
          <c:showSerName val="0"/>
          <c:showPercent val="0"/>
          <c:showBubbleSize val="0"/>
        </c:dLbls>
        <c:gapWidth val="150"/>
        <c:axId val="381403760"/>
        <c:axId val="381406480"/>
      </c:barChart>
      <c:catAx>
        <c:axId val="381403760"/>
        <c:scaling>
          <c:orientation val="minMax"/>
        </c:scaling>
        <c:delete val="0"/>
        <c:axPos val="l"/>
        <c:numFmt formatCode="General" sourceLinked="1"/>
        <c:majorTickMark val="none"/>
        <c:minorTickMark val="none"/>
        <c:tickLblPos val="nextTo"/>
        <c:txPr>
          <a:bodyPr/>
          <a:lstStyle/>
          <a:p>
            <a:pPr algn="r">
              <a:defRPr/>
            </a:pPr>
            <a:endParaRPr lang="en-US"/>
          </a:p>
        </c:txPr>
        <c:crossAx val="381406480"/>
        <c:crosses val="autoZero"/>
        <c:auto val="1"/>
        <c:lblAlgn val="ctr"/>
        <c:lblOffset val="100"/>
        <c:noMultiLvlLbl val="0"/>
      </c:catAx>
      <c:valAx>
        <c:axId val="381406480"/>
        <c:scaling>
          <c:orientation val="minMax"/>
        </c:scaling>
        <c:delete val="0"/>
        <c:axPos val="b"/>
        <c:majorGridlines/>
        <c:numFmt formatCode="0%" sourceLinked="1"/>
        <c:majorTickMark val="none"/>
        <c:minorTickMark val="none"/>
        <c:tickLblPos val="nextTo"/>
        <c:crossAx val="38140376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tx>
            <c:strRef>
              <c:f>Master!$BV$144</c:f>
              <c:strCache>
                <c:ptCount val="1"/>
                <c:pt idx="0">
                  <c:v>SoSt</c:v>
                </c:pt>
              </c:strCache>
            </c:strRef>
          </c:tx>
          <c:invertIfNegative val="0"/>
          <c:cat>
            <c:strRef>
              <c:f>Master!$BW$143:$CB$143</c:f>
              <c:strCache>
                <c:ptCount val="6"/>
                <c:pt idx="0">
                  <c:v>My organization implements specific social stability programs (under the Social Stability Sector);</c:v>
                </c:pt>
                <c:pt idx="1">
                  <c:v>Our programs target host communities as well as refugee communities;</c:v>
                </c:pt>
                <c:pt idx="2">
                  <c:v>Our programs contribute to strengthening the role of local institutions and authorities (municipalities, SDCs) to manage the crisis;</c:v>
                </c:pt>
                <c:pt idx="3">
                  <c:v>Our programs support the delivery of basic services to decrease tensions related to pressure on basic services;</c:v>
                </c:pt>
                <c:pt idx="4">
                  <c:v>Our programs bring members from different communities together as part of our activities and builds trust between and within communities;</c:v>
                </c:pt>
                <c:pt idx="5">
                  <c:v>Our programs promote social stability values (civic engagement, volunteering, tolerance and peaceful coexistence, conflict mediation and resolution).</c:v>
                </c:pt>
              </c:strCache>
            </c:strRef>
          </c:cat>
          <c:val>
            <c:numRef>
              <c:f>Master!$BW$144:$CB$144</c:f>
              <c:numCache>
                <c:formatCode>0%</c:formatCode>
                <c:ptCount val="6"/>
                <c:pt idx="0">
                  <c:v>0.44897959183673503</c:v>
                </c:pt>
                <c:pt idx="1">
                  <c:v>0.61224489795918402</c:v>
                </c:pt>
                <c:pt idx="2">
                  <c:v>0.59183673469387799</c:v>
                </c:pt>
                <c:pt idx="3">
                  <c:v>0.44897959183673503</c:v>
                </c:pt>
                <c:pt idx="4">
                  <c:v>0.55102040816326503</c:v>
                </c:pt>
                <c:pt idx="5">
                  <c:v>0.48979591836734698</c:v>
                </c:pt>
              </c:numCache>
            </c:numRef>
          </c:val>
        </c:ser>
        <c:ser>
          <c:idx val="1"/>
          <c:order val="1"/>
          <c:tx>
            <c:strRef>
              <c:f>Master!$BV$145</c:f>
              <c:strCache>
                <c:ptCount val="1"/>
                <c:pt idx="0">
                  <c:v>Non SoSt</c:v>
                </c:pt>
              </c:strCache>
            </c:strRef>
          </c:tx>
          <c:invertIfNegative val="0"/>
          <c:cat>
            <c:strRef>
              <c:f>Master!$BW$143:$CB$143</c:f>
              <c:strCache>
                <c:ptCount val="6"/>
                <c:pt idx="0">
                  <c:v>My organization implements specific social stability programs (under the Social Stability Sector);</c:v>
                </c:pt>
                <c:pt idx="1">
                  <c:v>Our programs target host communities as well as refugee communities;</c:v>
                </c:pt>
                <c:pt idx="2">
                  <c:v>Our programs contribute to strengthening the role of local institutions and authorities (municipalities, SDCs) to manage the crisis;</c:v>
                </c:pt>
                <c:pt idx="3">
                  <c:v>Our programs support the delivery of basic services to decrease tensions related to pressure on basic services;</c:v>
                </c:pt>
                <c:pt idx="4">
                  <c:v>Our programs bring members from different communities together as part of our activities and builds trust between and within communities;</c:v>
                </c:pt>
                <c:pt idx="5">
                  <c:v>Our programs promote social stability values (civic engagement, volunteering, tolerance and peaceful coexistence, conflict mediation and resolution).</c:v>
                </c:pt>
              </c:strCache>
            </c:strRef>
          </c:cat>
          <c:val>
            <c:numRef>
              <c:f>Master!$BW$145:$CB$145</c:f>
              <c:numCache>
                <c:formatCode>0%</c:formatCode>
                <c:ptCount val="6"/>
                <c:pt idx="0">
                  <c:v>0.1</c:v>
                </c:pt>
                <c:pt idx="1">
                  <c:v>0.375</c:v>
                </c:pt>
                <c:pt idx="2">
                  <c:v>0.375</c:v>
                </c:pt>
                <c:pt idx="3">
                  <c:v>0.375</c:v>
                </c:pt>
                <c:pt idx="4">
                  <c:v>0.3</c:v>
                </c:pt>
                <c:pt idx="5">
                  <c:v>0.2</c:v>
                </c:pt>
              </c:numCache>
            </c:numRef>
          </c:val>
        </c:ser>
        <c:dLbls>
          <c:showLegendKey val="0"/>
          <c:showVal val="0"/>
          <c:showCatName val="0"/>
          <c:showSerName val="0"/>
          <c:showPercent val="0"/>
          <c:showBubbleSize val="0"/>
        </c:dLbls>
        <c:gapWidth val="150"/>
        <c:axId val="381411376"/>
        <c:axId val="381414096"/>
      </c:barChart>
      <c:catAx>
        <c:axId val="381411376"/>
        <c:scaling>
          <c:orientation val="minMax"/>
        </c:scaling>
        <c:delete val="0"/>
        <c:axPos val="l"/>
        <c:numFmt formatCode="General" sourceLinked="1"/>
        <c:majorTickMark val="out"/>
        <c:minorTickMark val="none"/>
        <c:tickLblPos val="nextTo"/>
        <c:txPr>
          <a:bodyPr/>
          <a:lstStyle/>
          <a:p>
            <a:pPr algn="r">
              <a:defRPr/>
            </a:pPr>
            <a:endParaRPr lang="en-US"/>
          </a:p>
        </c:txPr>
        <c:crossAx val="381414096"/>
        <c:crosses val="autoZero"/>
        <c:auto val="1"/>
        <c:lblAlgn val="ctr"/>
        <c:lblOffset val="100"/>
        <c:noMultiLvlLbl val="0"/>
      </c:catAx>
      <c:valAx>
        <c:axId val="381414096"/>
        <c:scaling>
          <c:orientation val="minMax"/>
        </c:scaling>
        <c:delete val="0"/>
        <c:axPos val="b"/>
        <c:majorGridlines/>
        <c:numFmt formatCode="0%" sourceLinked="1"/>
        <c:majorTickMark val="out"/>
        <c:minorTickMark val="none"/>
        <c:tickLblPos val="nextTo"/>
        <c:crossAx val="381411376"/>
        <c:crosses val="autoZero"/>
        <c:crossBetween val="between"/>
      </c:valAx>
    </c:plotArea>
    <c:legend>
      <c:legendPos val="r"/>
      <c:layout>
        <c:manualLayout>
          <c:xMode val="edge"/>
          <c:yMode val="edge"/>
          <c:x val="0.85543168215084198"/>
          <c:y val="0.40702354913969102"/>
          <c:w val="0.12234609562693501"/>
          <c:h val="0.18595290172061801"/>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tx>
            <c:strRef>
              <c:f>Master!$BU$126</c:f>
              <c:strCache>
                <c:ptCount val="1"/>
                <c:pt idx="0">
                  <c:v>Local</c:v>
                </c:pt>
              </c:strCache>
            </c:strRef>
          </c:tx>
          <c:invertIfNegative val="0"/>
          <c:cat>
            <c:strRef>
              <c:f>Master!$BV$125:$CB$125</c:f>
              <c:strCache>
                <c:ptCount val="7"/>
                <c:pt idx="0">
                  <c:v>My organization contributes to social stability</c:v>
                </c:pt>
                <c:pt idx="1">
                  <c:v>My organization implements specific social stability programs (under the Social Stability Sector);</c:v>
                </c:pt>
                <c:pt idx="2">
                  <c:v>Our programs target host communities as well as refugee communities;</c:v>
                </c:pt>
                <c:pt idx="3">
                  <c:v>Our programs contribute to strengthening the role of local institutions and authorities (municipalities, SDCs) to manage the crisis;</c:v>
                </c:pt>
                <c:pt idx="4">
                  <c:v>Our programs support the delivery of basic services to decrease tensions related to pressure on basic services;</c:v>
                </c:pt>
                <c:pt idx="5">
                  <c:v>Our programs bring members from different communities together as part of our activities and builds trust between and within communities;</c:v>
                </c:pt>
                <c:pt idx="6">
                  <c:v>Our programs promote social stability values (civic engagement, volunteering, tolerance and peaceful coexistence, conflict mediation and resolution).</c:v>
                </c:pt>
              </c:strCache>
            </c:strRef>
          </c:cat>
          <c:val>
            <c:numRef>
              <c:f>Master!$BV$126:$CB$126</c:f>
              <c:numCache>
                <c:formatCode>0%</c:formatCode>
                <c:ptCount val="7"/>
                <c:pt idx="0">
                  <c:v>0.67857142857142905</c:v>
                </c:pt>
                <c:pt idx="1">
                  <c:v>0.26785714285714302</c:v>
                </c:pt>
                <c:pt idx="2">
                  <c:v>0.51785714285714302</c:v>
                </c:pt>
                <c:pt idx="3">
                  <c:v>0.51785714285714302</c:v>
                </c:pt>
                <c:pt idx="4">
                  <c:v>0.42857142857142899</c:v>
                </c:pt>
                <c:pt idx="5">
                  <c:v>0.42857142857142899</c:v>
                </c:pt>
                <c:pt idx="6">
                  <c:v>0.35714285714285698</c:v>
                </c:pt>
              </c:numCache>
            </c:numRef>
          </c:val>
        </c:ser>
        <c:ser>
          <c:idx val="1"/>
          <c:order val="1"/>
          <c:tx>
            <c:strRef>
              <c:f>Master!$BU$127</c:f>
              <c:strCache>
                <c:ptCount val="1"/>
                <c:pt idx="0">
                  <c:v>National</c:v>
                </c:pt>
              </c:strCache>
            </c:strRef>
          </c:tx>
          <c:invertIfNegative val="0"/>
          <c:cat>
            <c:strRef>
              <c:f>Master!$BV$125:$CB$125</c:f>
              <c:strCache>
                <c:ptCount val="7"/>
                <c:pt idx="0">
                  <c:v>My organization contributes to social stability</c:v>
                </c:pt>
                <c:pt idx="1">
                  <c:v>My organization implements specific social stability programs (under the Social Stability Sector);</c:v>
                </c:pt>
                <c:pt idx="2">
                  <c:v>Our programs target host communities as well as refugee communities;</c:v>
                </c:pt>
                <c:pt idx="3">
                  <c:v>Our programs contribute to strengthening the role of local institutions and authorities (municipalities, SDCs) to manage the crisis;</c:v>
                </c:pt>
                <c:pt idx="4">
                  <c:v>Our programs support the delivery of basic services to decrease tensions related to pressure on basic services;</c:v>
                </c:pt>
                <c:pt idx="5">
                  <c:v>Our programs bring members from different communities together as part of our activities and builds trust between and within communities;</c:v>
                </c:pt>
                <c:pt idx="6">
                  <c:v>Our programs promote social stability values (civic engagement, volunteering, tolerance and peaceful coexistence, conflict mediation and resolution).</c:v>
                </c:pt>
              </c:strCache>
            </c:strRef>
          </c:cat>
          <c:val>
            <c:numRef>
              <c:f>Master!$BV$127:$CB$127</c:f>
              <c:numCache>
                <c:formatCode>0.00%</c:formatCode>
                <c:ptCount val="7"/>
                <c:pt idx="0">
                  <c:v>0.54545454545454497</c:v>
                </c:pt>
                <c:pt idx="1">
                  <c:v>0.33333333333333298</c:v>
                </c:pt>
                <c:pt idx="2">
                  <c:v>0.18181818181818199</c:v>
                </c:pt>
                <c:pt idx="3">
                  <c:v>0.18181818181818199</c:v>
                </c:pt>
                <c:pt idx="4">
                  <c:v>0.18181818181818199</c:v>
                </c:pt>
                <c:pt idx="5">
                  <c:v>0.18181818181818199</c:v>
                </c:pt>
                <c:pt idx="6">
                  <c:v>0.18181818181818199</c:v>
                </c:pt>
              </c:numCache>
            </c:numRef>
          </c:val>
        </c:ser>
        <c:dLbls>
          <c:showLegendKey val="0"/>
          <c:showVal val="0"/>
          <c:showCatName val="0"/>
          <c:showSerName val="0"/>
          <c:showPercent val="0"/>
          <c:showBubbleSize val="0"/>
        </c:dLbls>
        <c:gapWidth val="150"/>
        <c:axId val="381399952"/>
        <c:axId val="381414640"/>
      </c:barChart>
      <c:catAx>
        <c:axId val="381399952"/>
        <c:scaling>
          <c:orientation val="minMax"/>
        </c:scaling>
        <c:delete val="0"/>
        <c:axPos val="l"/>
        <c:numFmt formatCode="General" sourceLinked="1"/>
        <c:majorTickMark val="out"/>
        <c:minorTickMark val="none"/>
        <c:tickLblPos val="nextTo"/>
        <c:crossAx val="381414640"/>
        <c:crosses val="autoZero"/>
        <c:auto val="1"/>
        <c:lblAlgn val="ctr"/>
        <c:lblOffset val="100"/>
        <c:noMultiLvlLbl val="0"/>
      </c:catAx>
      <c:valAx>
        <c:axId val="381414640"/>
        <c:scaling>
          <c:orientation val="minMax"/>
        </c:scaling>
        <c:delete val="0"/>
        <c:axPos val="b"/>
        <c:majorGridlines/>
        <c:numFmt formatCode="0%" sourceLinked="1"/>
        <c:majorTickMark val="out"/>
        <c:minorTickMark val="none"/>
        <c:tickLblPos val="nextTo"/>
        <c:crossAx val="381399952"/>
        <c:crosses val="autoZero"/>
        <c:crossBetween val="between"/>
      </c:valAx>
    </c:plotArea>
    <c:legend>
      <c:legendPos val="r"/>
      <c:layout>
        <c:manualLayout>
          <c:xMode val="edge"/>
          <c:yMode val="edge"/>
          <c:x val="0.84090896532670301"/>
          <c:y val="0.37461614173228303"/>
          <c:w val="0.103535479117742"/>
          <c:h val="0.18595290172061801"/>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fr-FR"/>
              <a:t>Training needs</a:t>
            </a:r>
          </a:p>
        </c:rich>
      </c:tx>
      <c:overlay val="0"/>
    </c:title>
    <c:autoTitleDeleted val="0"/>
    <c:plotArea>
      <c:layout/>
      <c:barChart>
        <c:barDir val="bar"/>
        <c:grouping val="clustered"/>
        <c:varyColors val="0"/>
        <c:ser>
          <c:idx val="0"/>
          <c:order val="0"/>
          <c:tx>
            <c:strRef>
              <c:f>Master!$CN$121</c:f>
              <c:strCache>
                <c:ptCount val="1"/>
                <c:pt idx="0">
                  <c:v>field</c:v>
                </c:pt>
              </c:strCache>
            </c:strRef>
          </c:tx>
          <c:invertIfNegative val="0"/>
          <c:cat>
            <c:strRef>
              <c:f>Master!$CO$120:$CT$120</c:f>
              <c:strCache>
                <c:ptCount val="6"/>
                <c:pt idx="0">
                  <c:v>Conflict analysis</c:v>
                </c:pt>
                <c:pt idx="1">
                  <c:v>Conflict sensitive programming</c:v>
                </c:pt>
                <c:pt idx="2">
                  <c:v>Conflict sensitivity in the program cycle</c:v>
                </c:pt>
                <c:pt idx="3">
                  <c:v>conflict mediation and resolution</c:v>
                </c:pt>
                <c:pt idx="4">
                  <c:v>do no harm</c:v>
                </c:pt>
                <c:pt idx="5">
                  <c:v>Humanitarian access and acceptance</c:v>
                </c:pt>
              </c:strCache>
            </c:strRef>
          </c:cat>
          <c:val>
            <c:numRef>
              <c:f>Master!$CO$121:$CT$121</c:f>
              <c:numCache>
                <c:formatCode>0.00</c:formatCode>
                <c:ptCount val="6"/>
                <c:pt idx="0">
                  <c:v>3.7740909090909089</c:v>
                </c:pt>
                <c:pt idx="1">
                  <c:v>4.2959090909090909</c:v>
                </c:pt>
                <c:pt idx="2">
                  <c:v>4.2222727272727267</c:v>
                </c:pt>
                <c:pt idx="3">
                  <c:v>3.92</c:v>
                </c:pt>
                <c:pt idx="4">
                  <c:v>3.9027272727272719</c:v>
                </c:pt>
                <c:pt idx="5">
                  <c:v>3.6759090909090899</c:v>
                </c:pt>
              </c:numCache>
            </c:numRef>
          </c:val>
        </c:ser>
        <c:ser>
          <c:idx val="1"/>
          <c:order val="1"/>
          <c:tx>
            <c:strRef>
              <c:f>Master!$CN$122</c:f>
              <c:strCache>
                <c:ptCount val="1"/>
                <c:pt idx="0">
                  <c:v>national</c:v>
                </c:pt>
              </c:strCache>
            </c:strRef>
          </c:tx>
          <c:invertIfNegative val="0"/>
          <c:cat>
            <c:strRef>
              <c:f>Master!$CO$120:$CT$120</c:f>
              <c:strCache>
                <c:ptCount val="6"/>
                <c:pt idx="0">
                  <c:v>Conflict analysis</c:v>
                </c:pt>
                <c:pt idx="1">
                  <c:v>Conflict sensitive programming</c:v>
                </c:pt>
                <c:pt idx="2">
                  <c:v>Conflict sensitivity in the program cycle</c:v>
                </c:pt>
                <c:pt idx="3">
                  <c:v>conflict mediation and resolution</c:v>
                </c:pt>
                <c:pt idx="4">
                  <c:v>do no harm</c:v>
                </c:pt>
                <c:pt idx="5">
                  <c:v>Humanitarian access and acceptance</c:v>
                </c:pt>
              </c:strCache>
            </c:strRef>
          </c:cat>
          <c:val>
            <c:numRef>
              <c:f>Master!$CO$122:$CT$122</c:f>
              <c:numCache>
                <c:formatCode>0.00</c:formatCode>
                <c:ptCount val="6"/>
                <c:pt idx="0">
                  <c:v>4.05</c:v>
                </c:pt>
                <c:pt idx="1">
                  <c:v>4.0999999999999996</c:v>
                </c:pt>
                <c:pt idx="2">
                  <c:v>4</c:v>
                </c:pt>
                <c:pt idx="3">
                  <c:v>3.9</c:v>
                </c:pt>
                <c:pt idx="4">
                  <c:v>3.71</c:v>
                </c:pt>
                <c:pt idx="5">
                  <c:v>3.3</c:v>
                </c:pt>
              </c:numCache>
            </c:numRef>
          </c:val>
        </c:ser>
        <c:dLbls>
          <c:showLegendKey val="0"/>
          <c:showVal val="0"/>
          <c:showCatName val="0"/>
          <c:showSerName val="0"/>
          <c:showPercent val="0"/>
          <c:showBubbleSize val="0"/>
        </c:dLbls>
        <c:gapWidth val="150"/>
        <c:axId val="381409744"/>
        <c:axId val="381415184"/>
      </c:barChart>
      <c:catAx>
        <c:axId val="381409744"/>
        <c:scaling>
          <c:orientation val="minMax"/>
        </c:scaling>
        <c:delete val="0"/>
        <c:axPos val="l"/>
        <c:numFmt formatCode="General" sourceLinked="1"/>
        <c:majorTickMark val="none"/>
        <c:minorTickMark val="none"/>
        <c:tickLblPos val="nextTo"/>
        <c:crossAx val="381415184"/>
        <c:crosses val="autoZero"/>
        <c:auto val="1"/>
        <c:lblAlgn val="ctr"/>
        <c:lblOffset val="100"/>
        <c:noMultiLvlLbl val="0"/>
      </c:catAx>
      <c:valAx>
        <c:axId val="381415184"/>
        <c:scaling>
          <c:orientation val="minMax"/>
          <c:min val="2.5"/>
        </c:scaling>
        <c:delete val="0"/>
        <c:axPos val="b"/>
        <c:majorGridlines/>
        <c:numFmt formatCode="0.00" sourceLinked="1"/>
        <c:majorTickMark val="none"/>
        <c:minorTickMark val="none"/>
        <c:tickLblPos val="nextTo"/>
        <c:crossAx val="381409744"/>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fr-FR"/>
              <a:t>Need</a:t>
            </a:r>
            <a:r>
              <a:rPr lang="fr-FR" baseline="0"/>
              <a:t> for s</a:t>
            </a:r>
            <a:r>
              <a:rPr lang="fr-FR"/>
              <a:t>upport</a:t>
            </a:r>
            <a:r>
              <a:rPr lang="fr-FR" baseline="0"/>
              <a:t> and tools </a:t>
            </a:r>
            <a:endParaRPr lang="fr-FR"/>
          </a:p>
        </c:rich>
      </c:tx>
      <c:overlay val="0"/>
    </c:title>
    <c:autoTitleDeleted val="0"/>
    <c:plotArea>
      <c:layout/>
      <c:barChart>
        <c:barDir val="bar"/>
        <c:grouping val="clustered"/>
        <c:varyColors val="0"/>
        <c:ser>
          <c:idx val="0"/>
          <c:order val="0"/>
          <c:tx>
            <c:strRef>
              <c:f>Master!$CU$144</c:f>
              <c:strCache>
                <c:ptCount val="1"/>
                <c:pt idx="0">
                  <c:v>SoSt</c:v>
                </c:pt>
              </c:strCache>
            </c:strRef>
          </c:tx>
          <c:invertIfNegative val="0"/>
          <c:cat>
            <c:strRef>
              <c:f>Master!$CV$143:$DB$143</c:f>
              <c:strCache>
                <c:ptCount val="7"/>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Master!$CV$144:$DB$144</c:f>
              <c:numCache>
                <c:formatCode>0.00</c:formatCode>
                <c:ptCount val="7"/>
                <c:pt idx="0">
                  <c:v>3.67</c:v>
                </c:pt>
                <c:pt idx="1">
                  <c:v>4</c:v>
                </c:pt>
                <c:pt idx="2">
                  <c:v>3.5</c:v>
                </c:pt>
                <c:pt idx="3">
                  <c:v>3.44</c:v>
                </c:pt>
                <c:pt idx="4">
                  <c:v>3.72</c:v>
                </c:pt>
                <c:pt idx="5">
                  <c:v>3.78</c:v>
                </c:pt>
                <c:pt idx="6">
                  <c:v>3.75</c:v>
                </c:pt>
              </c:numCache>
            </c:numRef>
          </c:val>
        </c:ser>
        <c:ser>
          <c:idx val="1"/>
          <c:order val="1"/>
          <c:tx>
            <c:strRef>
              <c:f>Master!$CU$145</c:f>
              <c:strCache>
                <c:ptCount val="1"/>
                <c:pt idx="0">
                  <c:v>Others</c:v>
                </c:pt>
              </c:strCache>
            </c:strRef>
          </c:tx>
          <c:invertIfNegative val="0"/>
          <c:cat>
            <c:strRef>
              <c:f>Master!$CV$143:$DB$143</c:f>
              <c:strCache>
                <c:ptCount val="7"/>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Master!$CV$145:$DB$145</c:f>
              <c:numCache>
                <c:formatCode>0.00</c:formatCode>
                <c:ptCount val="7"/>
                <c:pt idx="0">
                  <c:v>3.8888888888888871</c:v>
                </c:pt>
                <c:pt idx="1">
                  <c:v>4.2777777777777777</c:v>
                </c:pt>
                <c:pt idx="2">
                  <c:v>3.833333333333333</c:v>
                </c:pt>
                <c:pt idx="3">
                  <c:v>3.2777777777777781</c:v>
                </c:pt>
                <c:pt idx="4">
                  <c:v>3.7777777777777781</c:v>
                </c:pt>
                <c:pt idx="5">
                  <c:v>3.5</c:v>
                </c:pt>
                <c:pt idx="6">
                  <c:v>3.3888888888888871</c:v>
                </c:pt>
              </c:numCache>
            </c:numRef>
          </c:val>
        </c:ser>
        <c:dLbls>
          <c:showLegendKey val="0"/>
          <c:showVal val="0"/>
          <c:showCatName val="0"/>
          <c:showSerName val="0"/>
          <c:showPercent val="0"/>
          <c:showBubbleSize val="0"/>
        </c:dLbls>
        <c:gapWidth val="150"/>
        <c:axId val="381415728"/>
        <c:axId val="381416272"/>
      </c:barChart>
      <c:catAx>
        <c:axId val="381415728"/>
        <c:scaling>
          <c:orientation val="minMax"/>
        </c:scaling>
        <c:delete val="0"/>
        <c:axPos val="l"/>
        <c:numFmt formatCode="General" sourceLinked="1"/>
        <c:majorTickMark val="out"/>
        <c:minorTickMark val="none"/>
        <c:tickLblPos val="nextTo"/>
        <c:crossAx val="381416272"/>
        <c:crosses val="autoZero"/>
        <c:auto val="1"/>
        <c:lblAlgn val="ctr"/>
        <c:lblOffset val="100"/>
        <c:noMultiLvlLbl val="0"/>
      </c:catAx>
      <c:valAx>
        <c:axId val="381416272"/>
        <c:scaling>
          <c:orientation val="minMax"/>
          <c:min val="2.5"/>
        </c:scaling>
        <c:delete val="0"/>
        <c:axPos val="b"/>
        <c:majorGridlines/>
        <c:numFmt formatCode="0.00" sourceLinked="1"/>
        <c:majorTickMark val="out"/>
        <c:minorTickMark val="none"/>
        <c:tickLblPos val="nextTo"/>
        <c:crossAx val="381415728"/>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invertIfNegative val="0"/>
          <c:cat>
            <c:strRef>
              <c:f>WASH!$V$46:$AA$46</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WASH!$V$47:$AA$47</c:f>
              <c:numCache>
                <c:formatCode>General</c:formatCode>
                <c:ptCount val="6"/>
                <c:pt idx="0">
                  <c:v>3.35</c:v>
                </c:pt>
                <c:pt idx="1">
                  <c:v>3.78</c:v>
                </c:pt>
                <c:pt idx="2">
                  <c:v>3.4</c:v>
                </c:pt>
                <c:pt idx="3">
                  <c:v>3.09</c:v>
                </c:pt>
                <c:pt idx="4">
                  <c:v>3.53</c:v>
                </c:pt>
                <c:pt idx="5">
                  <c:v>3.43</c:v>
                </c:pt>
              </c:numCache>
            </c:numRef>
          </c:val>
        </c:ser>
        <c:dLbls>
          <c:showLegendKey val="0"/>
          <c:showVal val="0"/>
          <c:showCatName val="0"/>
          <c:showSerName val="0"/>
          <c:showPercent val="0"/>
          <c:showBubbleSize val="0"/>
        </c:dLbls>
        <c:gapWidth val="150"/>
        <c:axId val="381418992"/>
        <c:axId val="381417904"/>
      </c:barChart>
      <c:catAx>
        <c:axId val="381418992"/>
        <c:scaling>
          <c:orientation val="minMax"/>
        </c:scaling>
        <c:delete val="0"/>
        <c:axPos val="l"/>
        <c:numFmt formatCode="General" sourceLinked="0"/>
        <c:majorTickMark val="out"/>
        <c:minorTickMark val="none"/>
        <c:tickLblPos val="nextTo"/>
        <c:crossAx val="381417904"/>
        <c:crosses val="autoZero"/>
        <c:auto val="1"/>
        <c:lblAlgn val="ctr"/>
        <c:lblOffset val="100"/>
        <c:noMultiLvlLbl val="0"/>
      </c:catAx>
      <c:valAx>
        <c:axId val="381417904"/>
        <c:scaling>
          <c:orientation val="minMax"/>
          <c:max val="4"/>
          <c:min val="3"/>
        </c:scaling>
        <c:delete val="0"/>
        <c:axPos val="b"/>
        <c:majorGridlines/>
        <c:numFmt formatCode="General" sourceLinked="1"/>
        <c:majorTickMark val="out"/>
        <c:minorTickMark val="none"/>
        <c:tickLblPos val="nextTo"/>
        <c:crossAx val="381418992"/>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invertIfNegative val="0"/>
          <c:cat>
            <c:strRef>
              <c:f>WASH!$AD$40:$AI$40</c:f>
              <c:strCache>
                <c:ptCount val="6"/>
                <c:pt idx="0">
                  <c:v>My organization implements specific social stability programs (under the Social Stability Sector);</c:v>
                </c:pt>
                <c:pt idx="1">
                  <c:v>Our programs target host communities as well as refugee communities;</c:v>
                </c:pt>
                <c:pt idx="2">
                  <c:v>Our programs contribute to strengthening the role of local institutions and authorities (municipalities, SDCs) to manage the crisis;</c:v>
                </c:pt>
                <c:pt idx="3">
                  <c:v>Our programs support the delivery of basic services to decrease tensions related to pressure on basic services;</c:v>
                </c:pt>
                <c:pt idx="4">
                  <c:v>Our programs bring members from different communities together as part of our activities and builds trust between and within communities;</c:v>
                </c:pt>
                <c:pt idx="5">
                  <c:v>Our programs promote social stability values (civic engagement, volunteering, tolerance and peaceful coexistence, conflict mediation and resolution).</c:v>
                </c:pt>
              </c:strCache>
            </c:strRef>
          </c:cat>
          <c:val>
            <c:numRef>
              <c:f>WASH!$AD$41:$AI$41</c:f>
              <c:numCache>
                <c:formatCode>General</c:formatCode>
                <c:ptCount val="6"/>
                <c:pt idx="0">
                  <c:v>10</c:v>
                </c:pt>
                <c:pt idx="1">
                  <c:v>19</c:v>
                </c:pt>
                <c:pt idx="2">
                  <c:v>19</c:v>
                </c:pt>
                <c:pt idx="3">
                  <c:v>18</c:v>
                </c:pt>
                <c:pt idx="4">
                  <c:v>13</c:v>
                </c:pt>
                <c:pt idx="5">
                  <c:v>7</c:v>
                </c:pt>
              </c:numCache>
            </c:numRef>
          </c:val>
        </c:ser>
        <c:dLbls>
          <c:showLegendKey val="0"/>
          <c:showVal val="0"/>
          <c:showCatName val="0"/>
          <c:showSerName val="0"/>
          <c:showPercent val="0"/>
          <c:showBubbleSize val="0"/>
        </c:dLbls>
        <c:gapWidth val="150"/>
        <c:axId val="381420080"/>
        <c:axId val="381420624"/>
      </c:barChart>
      <c:catAx>
        <c:axId val="381420080"/>
        <c:scaling>
          <c:orientation val="minMax"/>
        </c:scaling>
        <c:delete val="0"/>
        <c:axPos val="l"/>
        <c:numFmt formatCode="General" sourceLinked="0"/>
        <c:majorTickMark val="out"/>
        <c:minorTickMark val="none"/>
        <c:tickLblPos val="nextTo"/>
        <c:crossAx val="381420624"/>
        <c:crosses val="autoZero"/>
        <c:auto val="1"/>
        <c:lblAlgn val="ctr"/>
        <c:lblOffset val="100"/>
        <c:noMultiLvlLbl val="0"/>
      </c:catAx>
      <c:valAx>
        <c:axId val="381420624"/>
        <c:scaling>
          <c:orientation val="minMax"/>
        </c:scaling>
        <c:delete val="0"/>
        <c:axPos val="b"/>
        <c:majorGridlines/>
        <c:numFmt formatCode="General" sourceLinked="1"/>
        <c:majorTickMark val="out"/>
        <c:minorTickMark val="none"/>
        <c:tickLblPos val="nextTo"/>
        <c:crossAx val="381420080"/>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invertIfNegative val="0"/>
          <c:cat>
            <c:strRef>
              <c:f>WASH!$AV$40:$BA$40</c:f>
              <c:strCache>
                <c:ptCount val="6"/>
                <c:pt idx="0">
                  <c:v>Conflict analysis</c:v>
                </c:pt>
                <c:pt idx="1">
                  <c:v>Conflict sensitive programming</c:v>
                </c:pt>
                <c:pt idx="2">
                  <c:v>Conflict sensitivity in the program cycle</c:v>
                </c:pt>
                <c:pt idx="3">
                  <c:v>Conflict mediation and resolution</c:v>
                </c:pt>
                <c:pt idx="4">
                  <c:v>Do no harm</c:v>
                </c:pt>
                <c:pt idx="5">
                  <c:v>Humanitarian access and acceptance</c:v>
                </c:pt>
              </c:strCache>
            </c:strRef>
          </c:cat>
          <c:val>
            <c:numRef>
              <c:f>WASH!$AV$41:$BA$41</c:f>
              <c:numCache>
                <c:formatCode>General</c:formatCode>
                <c:ptCount val="6"/>
                <c:pt idx="0">
                  <c:v>4</c:v>
                </c:pt>
                <c:pt idx="1">
                  <c:v>4.21</c:v>
                </c:pt>
                <c:pt idx="2">
                  <c:v>3.95</c:v>
                </c:pt>
                <c:pt idx="3">
                  <c:v>3.78</c:v>
                </c:pt>
                <c:pt idx="4">
                  <c:v>3.69</c:v>
                </c:pt>
                <c:pt idx="5">
                  <c:v>3.69</c:v>
                </c:pt>
              </c:numCache>
            </c:numRef>
          </c:val>
        </c:ser>
        <c:dLbls>
          <c:showLegendKey val="0"/>
          <c:showVal val="0"/>
          <c:showCatName val="0"/>
          <c:showSerName val="0"/>
          <c:showPercent val="0"/>
          <c:showBubbleSize val="0"/>
        </c:dLbls>
        <c:gapWidth val="150"/>
        <c:axId val="381404848"/>
        <c:axId val="381421712"/>
      </c:barChart>
      <c:catAx>
        <c:axId val="381404848"/>
        <c:scaling>
          <c:orientation val="minMax"/>
        </c:scaling>
        <c:delete val="0"/>
        <c:axPos val="l"/>
        <c:numFmt formatCode="General" sourceLinked="0"/>
        <c:majorTickMark val="out"/>
        <c:minorTickMark val="none"/>
        <c:tickLblPos val="nextTo"/>
        <c:crossAx val="381421712"/>
        <c:crosses val="autoZero"/>
        <c:auto val="1"/>
        <c:lblAlgn val="ctr"/>
        <c:lblOffset val="100"/>
        <c:noMultiLvlLbl val="0"/>
      </c:catAx>
      <c:valAx>
        <c:axId val="381421712"/>
        <c:scaling>
          <c:orientation val="minMax"/>
        </c:scaling>
        <c:delete val="0"/>
        <c:axPos val="b"/>
        <c:majorGridlines/>
        <c:numFmt formatCode="General" sourceLinked="1"/>
        <c:majorTickMark val="out"/>
        <c:minorTickMark val="none"/>
        <c:tickLblPos val="nextTo"/>
        <c:crossAx val="381404848"/>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invertIfNegative val="0"/>
          <c:cat>
            <c:strRef>
              <c:f>WASH!$BC$40:$BI$40</c:f>
              <c:strCache>
                <c:ptCount val="7"/>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WASH!$BC$41:$BI$41</c:f>
              <c:numCache>
                <c:formatCode>General</c:formatCode>
                <c:ptCount val="7"/>
                <c:pt idx="0">
                  <c:v>3.73</c:v>
                </c:pt>
                <c:pt idx="1">
                  <c:v>4.13</c:v>
                </c:pt>
                <c:pt idx="2">
                  <c:v>3.6</c:v>
                </c:pt>
                <c:pt idx="3">
                  <c:v>3.56</c:v>
                </c:pt>
                <c:pt idx="4">
                  <c:v>3.69</c:v>
                </c:pt>
                <c:pt idx="5">
                  <c:v>3.6</c:v>
                </c:pt>
                <c:pt idx="6">
                  <c:v>3.47</c:v>
                </c:pt>
              </c:numCache>
            </c:numRef>
          </c:val>
        </c:ser>
        <c:dLbls>
          <c:showLegendKey val="0"/>
          <c:showVal val="0"/>
          <c:showCatName val="0"/>
          <c:showSerName val="0"/>
          <c:showPercent val="0"/>
          <c:showBubbleSize val="0"/>
        </c:dLbls>
        <c:gapWidth val="150"/>
        <c:axId val="381422800"/>
        <c:axId val="381423344"/>
      </c:barChart>
      <c:catAx>
        <c:axId val="381422800"/>
        <c:scaling>
          <c:orientation val="minMax"/>
        </c:scaling>
        <c:delete val="0"/>
        <c:axPos val="l"/>
        <c:numFmt formatCode="General" sourceLinked="0"/>
        <c:majorTickMark val="out"/>
        <c:minorTickMark val="none"/>
        <c:tickLblPos val="nextTo"/>
        <c:crossAx val="381423344"/>
        <c:crosses val="autoZero"/>
        <c:auto val="1"/>
        <c:lblAlgn val="ctr"/>
        <c:lblOffset val="100"/>
        <c:noMultiLvlLbl val="0"/>
      </c:catAx>
      <c:valAx>
        <c:axId val="381423344"/>
        <c:scaling>
          <c:orientation val="minMax"/>
        </c:scaling>
        <c:delete val="0"/>
        <c:axPos val="b"/>
        <c:majorGridlines/>
        <c:numFmt formatCode="General" sourceLinked="1"/>
        <c:majorTickMark val="out"/>
        <c:minorTickMark val="none"/>
        <c:tickLblPos val="nextTo"/>
        <c:crossAx val="381422800"/>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invertIfNegative val="0"/>
          <c:cat>
            <c:strRef>
              <c:f>LH!$V$46:$AA$46</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LH!$V$47:$AA$47</c:f>
              <c:numCache>
                <c:formatCode>General</c:formatCode>
                <c:ptCount val="6"/>
                <c:pt idx="0">
                  <c:v>3.71</c:v>
                </c:pt>
                <c:pt idx="1">
                  <c:v>4.1199999999999974</c:v>
                </c:pt>
                <c:pt idx="2">
                  <c:v>3.69</c:v>
                </c:pt>
                <c:pt idx="3">
                  <c:v>3.64</c:v>
                </c:pt>
                <c:pt idx="4">
                  <c:v>3.69</c:v>
                </c:pt>
                <c:pt idx="5">
                  <c:v>3.48</c:v>
                </c:pt>
              </c:numCache>
            </c:numRef>
          </c:val>
        </c:ser>
        <c:dLbls>
          <c:showLegendKey val="0"/>
          <c:showVal val="0"/>
          <c:showCatName val="0"/>
          <c:showSerName val="0"/>
          <c:showPercent val="0"/>
          <c:showBubbleSize val="0"/>
        </c:dLbls>
        <c:gapWidth val="150"/>
        <c:axId val="381427152"/>
        <c:axId val="381424976"/>
      </c:barChart>
      <c:catAx>
        <c:axId val="381427152"/>
        <c:scaling>
          <c:orientation val="minMax"/>
        </c:scaling>
        <c:delete val="0"/>
        <c:axPos val="l"/>
        <c:numFmt formatCode="General" sourceLinked="0"/>
        <c:majorTickMark val="out"/>
        <c:minorTickMark val="none"/>
        <c:tickLblPos val="nextTo"/>
        <c:crossAx val="381424976"/>
        <c:crosses val="autoZero"/>
        <c:auto val="1"/>
        <c:lblAlgn val="ctr"/>
        <c:lblOffset val="100"/>
        <c:noMultiLvlLbl val="0"/>
      </c:catAx>
      <c:valAx>
        <c:axId val="381424976"/>
        <c:scaling>
          <c:orientation val="minMax"/>
        </c:scaling>
        <c:delete val="0"/>
        <c:axPos val="b"/>
        <c:majorGridlines/>
        <c:numFmt formatCode="General" sourceLinked="1"/>
        <c:majorTickMark val="out"/>
        <c:minorTickMark val="none"/>
        <c:tickLblPos val="nextTo"/>
        <c:crossAx val="381427152"/>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invertIfNegative val="0"/>
          <c:cat>
            <c:strRef>
              <c:f>LH!$AD$46:$AI$46</c:f>
              <c:strCache>
                <c:ptCount val="6"/>
                <c:pt idx="0">
                  <c:v>My organization implements specific social stability programs (under the Social Stability Sector);</c:v>
                </c:pt>
                <c:pt idx="1">
                  <c:v>Our programs target host communities as well as refugee communities;</c:v>
                </c:pt>
                <c:pt idx="2">
                  <c:v>Our programs contribute to strengthening the role of local institutions and authorities (municipalities, SDCs) to manage the crisis;</c:v>
                </c:pt>
                <c:pt idx="3">
                  <c:v>Our programs support the delivery of basic services to decrease tensions related to pressure on basic services;</c:v>
                </c:pt>
                <c:pt idx="4">
                  <c:v>Our programs bring members from different communities together as part of our activities and builds trust between and within communities;</c:v>
                </c:pt>
                <c:pt idx="5">
                  <c:v>Our programs promote social stability values (civic engagement, volunteering, tolerance and peaceful coexistence, conflict mediation and resolution).</c:v>
                </c:pt>
              </c:strCache>
            </c:strRef>
          </c:cat>
          <c:val>
            <c:numRef>
              <c:f>LH!$AD$47:$AI$47</c:f>
              <c:numCache>
                <c:formatCode>General</c:formatCode>
                <c:ptCount val="6"/>
                <c:pt idx="0">
                  <c:v>13</c:v>
                </c:pt>
                <c:pt idx="1">
                  <c:v>23</c:v>
                </c:pt>
                <c:pt idx="2">
                  <c:v>21</c:v>
                </c:pt>
                <c:pt idx="3">
                  <c:v>19</c:v>
                </c:pt>
                <c:pt idx="4">
                  <c:v>20</c:v>
                </c:pt>
                <c:pt idx="5">
                  <c:v>14</c:v>
                </c:pt>
              </c:numCache>
            </c:numRef>
          </c:val>
        </c:ser>
        <c:dLbls>
          <c:showLegendKey val="0"/>
          <c:showVal val="0"/>
          <c:showCatName val="0"/>
          <c:showSerName val="0"/>
          <c:showPercent val="0"/>
          <c:showBubbleSize val="0"/>
        </c:dLbls>
        <c:gapWidth val="150"/>
        <c:axId val="381426608"/>
        <c:axId val="381362416"/>
      </c:barChart>
      <c:catAx>
        <c:axId val="381426608"/>
        <c:scaling>
          <c:orientation val="minMax"/>
        </c:scaling>
        <c:delete val="0"/>
        <c:axPos val="l"/>
        <c:numFmt formatCode="General" sourceLinked="0"/>
        <c:majorTickMark val="out"/>
        <c:minorTickMark val="none"/>
        <c:tickLblPos val="nextTo"/>
        <c:crossAx val="381362416"/>
        <c:crosses val="autoZero"/>
        <c:auto val="1"/>
        <c:lblAlgn val="ctr"/>
        <c:lblOffset val="100"/>
        <c:noMultiLvlLbl val="0"/>
      </c:catAx>
      <c:valAx>
        <c:axId val="381362416"/>
        <c:scaling>
          <c:orientation val="minMax"/>
        </c:scaling>
        <c:delete val="0"/>
        <c:axPos val="b"/>
        <c:majorGridlines/>
        <c:numFmt formatCode="General" sourceLinked="1"/>
        <c:majorTickMark val="out"/>
        <c:minorTickMark val="none"/>
        <c:tickLblPos val="nextTo"/>
        <c:crossAx val="381426608"/>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invertIfNegative val="0"/>
          <c:cat>
            <c:strRef>
              <c:f>LH!$AV$46:$BA$46</c:f>
              <c:strCache>
                <c:ptCount val="6"/>
                <c:pt idx="0">
                  <c:v>Conflict analysis</c:v>
                </c:pt>
                <c:pt idx="1">
                  <c:v>Conflict sensitive programming</c:v>
                </c:pt>
                <c:pt idx="2">
                  <c:v>Conflict sensitivity in the program cycle</c:v>
                </c:pt>
                <c:pt idx="3">
                  <c:v>conflict mediation and resolution</c:v>
                </c:pt>
                <c:pt idx="4">
                  <c:v>do no harm</c:v>
                </c:pt>
                <c:pt idx="5">
                  <c:v>Humanitarian access and acceptance</c:v>
                </c:pt>
              </c:strCache>
            </c:strRef>
          </c:cat>
          <c:val>
            <c:numRef>
              <c:f>LH!$AV$47:$BA$47</c:f>
              <c:numCache>
                <c:formatCode>General</c:formatCode>
                <c:ptCount val="6"/>
                <c:pt idx="0">
                  <c:v>4.03</c:v>
                </c:pt>
                <c:pt idx="1">
                  <c:v>4.3</c:v>
                </c:pt>
                <c:pt idx="2">
                  <c:v>4.0599999999999996</c:v>
                </c:pt>
                <c:pt idx="3">
                  <c:v>3.73</c:v>
                </c:pt>
                <c:pt idx="4">
                  <c:v>3.73</c:v>
                </c:pt>
                <c:pt idx="5">
                  <c:v>3.55</c:v>
                </c:pt>
              </c:numCache>
            </c:numRef>
          </c:val>
        </c:ser>
        <c:dLbls>
          <c:showLegendKey val="0"/>
          <c:showVal val="0"/>
          <c:showCatName val="0"/>
          <c:showSerName val="0"/>
          <c:showPercent val="0"/>
          <c:showBubbleSize val="0"/>
        </c:dLbls>
        <c:gapWidth val="150"/>
        <c:axId val="381369488"/>
        <c:axId val="381371664"/>
      </c:barChart>
      <c:catAx>
        <c:axId val="381369488"/>
        <c:scaling>
          <c:orientation val="minMax"/>
        </c:scaling>
        <c:delete val="0"/>
        <c:axPos val="l"/>
        <c:numFmt formatCode="General" sourceLinked="0"/>
        <c:majorTickMark val="out"/>
        <c:minorTickMark val="none"/>
        <c:tickLblPos val="nextTo"/>
        <c:crossAx val="381371664"/>
        <c:crosses val="autoZero"/>
        <c:auto val="1"/>
        <c:lblAlgn val="ctr"/>
        <c:lblOffset val="100"/>
        <c:noMultiLvlLbl val="0"/>
      </c:catAx>
      <c:valAx>
        <c:axId val="381371664"/>
        <c:scaling>
          <c:orientation val="minMax"/>
        </c:scaling>
        <c:delete val="0"/>
        <c:axPos val="b"/>
        <c:majorGridlines/>
        <c:numFmt formatCode="General" sourceLinked="1"/>
        <c:majorTickMark val="out"/>
        <c:minorTickMark val="none"/>
        <c:tickLblPos val="nextTo"/>
        <c:crossAx val="381369488"/>
        <c:crosses val="autoZero"/>
        <c:crossBetween val="between"/>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invertIfNegative val="0"/>
          <c:cat>
            <c:strRef>
              <c:f>LH!$BC$46:$BI$46</c:f>
              <c:strCache>
                <c:ptCount val="7"/>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LH!$BC$47:$BI$47</c:f>
              <c:numCache>
                <c:formatCode>General</c:formatCode>
                <c:ptCount val="7"/>
                <c:pt idx="0">
                  <c:v>3.6</c:v>
                </c:pt>
                <c:pt idx="1">
                  <c:v>4.13</c:v>
                </c:pt>
                <c:pt idx="2">
                  <c:v>3.5</c:v>
                </c:pt>
                <c:pt idx="3">
                  <c:v>3.3</c:v>
                </c:pt>
                <c:pt idx="4">
                  <c:v>3.56</c:v>
                </c:pt>
                <c:pt idx="5">
                  <c:v>3.53</c:v>
                </c:pt>
                <c:pt idx="6">
                  <c:v>3.6</c:v>
                </c:pt>
              </c:numCache>
            </c:numRef>
          </c:val>
        </c:ser>
        <c:dLbls>
          <c:showLegendKey val="0"/>
          <c:showVal val="0"/>
          <c:showCatName val="0"/>
          <c:showSerName val="0"/>
          <c:showPercent val="0"/>
          <c:showBubbleSize val="0"/>
        </c:dLbls>
        <c:gapWidth val="150"/>
        <c:axId val="381364592"/>
        <c:axId val="381367856"/>
      </c:barChart>
      <c:catAx>
        <c:axId val="381364592"/>
        <c:scaling>
          <c:orientation val="minMax"/>
        </c:scaling>
        <c:delete val="0"/>
        <c:axPos val="l"/>
        <c:numFmt formatCode="General" sourceLinked="0"/>
        <c:majorTickMark val="out"/>
        <c:minorTickMark val="none"/>
        <c:tickLblPos val="nextTo"/>
        <c:crossAx val="381367856"/>
        <c:crosses val="autoZero"/>
        <c:auto val="1"/>
        <c:lblAlgn val="ctr"/>
        <c:lblOffset val="100"/>
        <c:noMultiLvlLbl val="0"/>
      </c:catAx>
      <c:valAx>
        <c:axId val="381367856"/>
        <c:scaling>
          <c:orientation val="minMax"/>
        </c:scaling>
        <c:delete val="0"/>
        <c:axPos val="b"/>
        <c:majorGridlines/>
        <c:numFmt formatCode="General" sourceLinked="1"/>
        <c:majorTickMark val="out"/>
        <c:minorTickMark val="none"/>
        <c:tickLblPos val="nextTo"/>
        <c:crossAx val="381364592"/>
        <c:crosses val="autoZero"/>
        <c:crossBetween val="between"/>
      </c:valAx>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Chart aspects of conflict/social stability analysis</a:t>
            </a:r>
          </a:p>
        </c:rich>
      </c:tx>
      <c:layout>
        <c:manualLayout>
          <c:xMode val="edge"/>
          <c:yMode val="edge"/>
          <c:x val="7.3363670450284593E-2"/>
          <c:y val="2.7777777777777801E-2"/>
        </c:manualLayout>
      </c:layout>
      <c:overlay val="0"/>
    </c:title>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Sheet4!$A$1:$F$1</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Sheet4!$A$20:$F$20</c:f>
              <c:numCache>
                <c:formatCode>0.0</c:formatCode>
                <c:ptCount val="6"/>
                <c:pt idx="0">
                  <c:v>3.8888888888888871</c:v>
                </c:pt>
                <c:pt idx="1">
                  <c:v>4.166666666666667</c:v>
                </c:pt>
                <c:pt idx="2">
                  <c:v>3.8888888888888871</c:v>
                </c:pt>
                <c:pt idx="3">
                  <c:v>3.7777777777777781</c:v>
                </c:pt>
                <c:pt idx="4">
                  <c:v>3.8888888888888871</c:v>
                </c:pt>
                <c:pt idx="5">
                  <c:v>3.833333333333333</c:v>
                </c:pt>
              </c:numCache>
            </c:numRef>
          </c:val>
        </c:ser>
        <c:dLbls>
          <c:showLegendKey val="0"/>
          <c:showVal val="0"/>
          <c:showCatName val="0"/>
          <c:showSerName val="0"/>
          <c:showPercent val="0"/>
          <c:showBubbleSize val="0"/>
        </c:dLbls>
        <c:gapWidth val="150"/>
        <c:axId val="381374928"/>
        <c:axId val="381371120"/>
      </c:barChart>
      <c:catAx>
        <c:axId val="381374928"/>
        <c:scaling>
          <c:orientation val="minMax"/>
        </c:scaling>
        <c:delete val="0"/>
        <c:axPos val="l"/>
        <c:numFmt formatCode="General" sourceLinked="0"/>
        <c:majorTickMark val="out"/>
        <c:minorTickMark val="none"/>
        <c:tickLblPos val="nextTo"/>
        <c:crossAx val="381371120"/>
        <c:crosses val="autoZero"/>
        <c:auto val="1"/>
        <c:lblAlgn val="ctr"/>
        <c:lblOffset val="100"/>
        <c:noMultiLvlLbl val="0"/>
      </c:catAx>
      <c:valAx>
        <c:axId val="381371120"/>
        <c:scaling>
          <c:orientation val="minMax"/>
        </c:scaling>
        <c:delete val="0"/>
        <c:axPos val="b"/>
        <c:majorGridlines/>
        <c:numFmt formatCode="0.0" sourceLinked="1"/>
        <c:majorTickMark val="out"/>
        <c:minorTickMark val="none"/>
        <c:tickLblPos val="nextTo"/>
        <c:crossAx val="381374928"/>
        <c:crosses val="autoZero"/>
        <c:crossBetween val="between"/>
      </c:valAx>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Contribution</a:t>
            </a:r>
            <a:r>
              <a:rPr lang="en-US" baseline="0"/>
              <a:t> </a:t>
            </a:r>
            <a:r>
              <a:rPr lang="en-US"/>
              <a:t>to social stability</a:t>
            </a:r>
          </a:p>
        </c:rich>
      </c:tx>
      <c:overlay val="0"/>
    </c:title>
    <c:autoTitleDeleted val="0"/>
    <c:plotArea>
      <c:layout/>
      <c:barChart>
        <c:barDir val="bar"/>
        <c:grouping val="clustered"/>
        <c:varyColors val="0"/>
        <c:ser>
          <c:idx val="0"/>
          <c:order val="0"/>
          <c:spPr>
            <a:solidFill>
              <a:srgbClr val="008000"/>
            </a:solidFill>
          </c:spPr>
          <c:invertIfNegative val="0"/>
          <c:cat>
            <c:strRef>
              <c:f>Sheet3!$A$20:$F$20</c:f>
              <c:strCache>
                <c:ptCount val="6"/>
                <c:pt idx="0">
                  <c:v>My organization implements specific social stability programs (under the Social Stability Sector);</c:v>
                </c:pt>
                <c:pt idx="1">
                  <c:v>Our programs target host communities as well as refugee communities;</c:v>
                </c:pt>
                <c:pt idx="2">
                  <c:v>Our programs contribute to strengthening the role of local institutions and authorities (municipalities, SDCs) to manage the crisis;</c:v>
                </c:pt>
                <c:pt idx="3">
                  <c:v>Our programs support the delivery of basic services to decrease tensions related to pressure on basic services;</c:v>
                </c:pt>
                <c:pt idx="4">
                  <c:v>Our programs bring members from different communities together as part of our activities and builds trust between and within communities;</c:v>
                </c:pt>
                <c:pt idx="5">
                  <c:v>Our programs promote social stability values (civic engagement, volunteering, tolerance and peaceful coexistence, conflict mediation and resolution).</c:v>
                </c:pt>
              </c:strCache>
            </c:strRef>
          </c:cat>
          <c:val>
            <c:numRef>
              <c:f>Sheet3!$A$21:$F$21</c:f>
              <c:numCache>
                <c:formatCode>General</c:formatCode>
                <c:ptCount val="6"/>
                <c:pt idx="0">
                  <c:v>3</c:v>
                </c:pt>
                <c:pt idx="1">
                  <c:v>10</c:v>
                </c:pt>
                <c:pt idx="2">
                  <c:v>8</c:v>
                </c:pt>
                <c:pt idx="3">
                  <c:v>10</c:v>
                </c:pt>
                <c:pt idx="4">
                  <c:v>10</c:v>
                </c:pt>
                <c:pt idx="5">
                  <c:v>5</c:v>
                </c:pt>
              </c:numCache>
            </c:numRef>
          </c:val>
        </c:ser>
        <c:dLbls>
          <c:showLegendKey val="0"/>
          <c:showVal val="0"/>
          <c:showCatName val="0"/>
          <c:showSerName val="0"/>
          <c:showPercent val="0"/>
          <c:showBubbleSize val="0"/>
        </c:dLbls>
        <c:gapWidth val="150"/>
        <c:axId val="381378736"/>
        <c:axId val="381376016"/>
      </c:barChart>
      <c:catAx>
        <c:axId val="381378736"/>
        <c:scaling>
          <c:orientation val="minMax"/>
        </c:scaling>
        <c:delete val="0"/>
        <c:axPos val="l"/>
        <c:numFmt formatCode="General" sourceLinked="0"/>
        <c:majorTickMark val="out"/>
        <c:minorTickMark val="none"/>
        <c:tickLblPos val="nextTo"/>
        <c:crossAx val="381376016"/>
        <c:crosses val="autoZero"/>
        <c:auto val="1"/>
        <c:lblAlgn val="ctr"/>
        <c:lblOffset val="100"/>
        <c:noMultiLvlLbl val="0"/>
      </c:catAx>
      <c:valAx>
        <c:axId val="381376016"/>
        <c:scaling>
          <c:orientation val="minMax"/>
        </c:scaling>
        <c:delete val="0"/>
        <c:axPos val="b"/>
        <c:majorGridlines/>
        <c:numFmt formatCode="General" sourceLinked="1"/>
        <c:majorTickMark val="out"/>
        <c:minorTickMark val="none"/>
        <c:tickLblPos val="nextTo"/>
        <c:crossAx val="381378736"/>
        <c:crosses val="autoZero"/>
        <c:crossBetween val="between"/>
      </c:valAx>
    </c:plotArea>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Work with public institutions</a:t>
            </a:r>
          </a:p>
        </c:rich>
      </c:tx>
      <c:overlay val="0"/>
    </c:title>
    <c:autoTitleDeleted val="0"/>
    <c:plotArea>
      <c:layout/>
      <c:barChart>
        <c:barDir val="bar"/>
        <c:grouping val="clustered"/>
        <c:varyColors val="0"/>
        <c:ser>
          <c:idx val="0"/>
          <c:order val="0"/>
          <c:spPr>
            <a:solidFill>
              <a:srgbClr val="80008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Sheet5!$A$1:$H$1</c:f>
              <c:strCache>
                <c:ptCount val="8"/>
                <c:pt idx="0">
                  <c:v>Ministry of Social Affairs &amp; Social Development Centers</c:v>
                </c:pt>
                <c:pt idx="1">
                  <c:v>Ministry of Interior and Municipalities</c:v>
                </c:pt>
                <c:pt idx="2">
                  <c:v>Ministry of Education and Higher Education</c:v>
                </c:pt>
                <c:pt idx="3">
                  <c:v>Ministry of Public Health</c:v>
                </c:pt>
                <c:pt idx="4">
                  <c:v>Municipalities</c:v>
                </c:pt>
                <c:pt idx="5">
                  <c:v>Union of Municipalities</c:v>
                </c:pt>
                <c:pt idx="6">
                  <c:v>Primary/Secondary Health Care Centers</c:v>
                </c:pt>
                <c:pt idx="7">
                  <c:v>Security forces</c:v>
                </c:pt>
              </c:strCache>
            </c:strRef>
          </c:cat>
          <c:val>
            <c:numRef>
              <c:f>Sheet5!$A$20:$H$20</c:f>
              <c:numCache>
                <c:formatCode>0.0</c:formatCode>
                <c:ptCount val="8"/>
                <c:pt idx="0">
                  <c:v>3.214285714285714</c:v>
                </c:pt>
                <c:pt idx="1">
                  <c:v>2.4615384615384621</c:v>
                </c:pt>
                <c:pt idx="2">
                  <c:v>2.833333333333333</c:v>
                </c:pt>
                <c:pt idx="3">
                  <c:v>2.1428571428571428</c:v>
                </c:pt>
                <c:pt idx="4">
                  <c:v>4.2307692307692299</c:v>
                </c:pt>
                <c:pt idx="5">
                  <c:v>3.714285714285714</c:v>
                </c:pt>
                <c:pt idx="6">
                  <c:v>2.714285714285714</c:v>
                </c:pt>
                <c:pt idx="7">
                  <c:v>2.4615384615384621</c:v>
                </c:pt>
              </c:numCache>
            </c:numRef>
          </c:val>
        </c:ser>
        <c:dLbls>
          <c:showLegendKey val="0"/>
          <c:showVal val="0"/>
          <c:showCatName val="0"/>
          <c:showSerName val="0"/>
          <c:showPercent val="0"/>
          <c:showBubbleSize val="0"/>
        </c:dLbls>
        <c:gapWidth val="150"/>
        <c:axId val="381376560"/>
        <c:axId val="381368400"/>
      </c:barChart>
      <c:catAx>
        <c:axId val="381376560"/>
        <c:scaling>
          <c:orientation val="minMax"/>
        </c:scaling>
        <c:delete val="0"/>
        <c:axPos val="l"/>
        <c:numFmt formatCode="General" sourceLinked="0"/>
        <c:majorTickMark val="out"/>
        <c:minorTickMark val="none"/>
        <c:tickLblPos val="nextTo"/>
        <c:crossAx val="381368400"/>
        <c:crosses val="autoZero"/>
        <c:auto val="1"/>
        <c:lblAlgn val="ctr"/>
        <c:lblOffset val="100"/>
        <c:noMultiLvlLbl val="0"/>
      </c:catAx>
      <c:valAx>
        <c:axId val="381368400"/>
        <c:scaling>
          <c:orientation val="minMax"/>
        </c:scaling>
        <c:delete val="0"/>
        <c:axPos val="b"/>
        <c:majorGridlines/>
        <c:numFmt formatCode="0.0" sourceLinked="1"/>
        <c:majorTickMark val="out"/>
        <c:minorTickMark val="none"/>
        <c:tickLblPos val="nextTo"/>
        <c:crossAx val="381376560"/>
        <c:crosses val="autoZero"/>
        <c:crossBetween val="between"/>
      </c:valAx>
    </c:plotArea>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Training needs</a:t>
            </a:r>
          </a:p>
        </c:rich>
      </c:tx>
      <c:layout>
        <c:manualLayout>
          <c:xMode val="edge"/>
          <c:yMode val="edge"/>
          <c:x val="0.37440758293838899"/>
          <c:y val="8.6419753086419707E-2"/>
        </c:manualLayout>
      </c:layout>
      <c:overlay val="0"/>
    </c:title>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Sheet6!$A$1:$F$1</c:f>
              <c:strCache>
                <c:ptCount val="6"/>
                <c:pt idx="0">
                  <c:v>Conflict analysis</c:v>
                </c:pt>
                <c:pt idx="1">
                  <c:v>Conflict sensitive programming</c:v>
                </c:pt>
                <c:pt idx="2">
                  <c:v>Conflict sensitivity in the program cycle</c:v>
                </c:pt>
                <c:pt idx="3">
                  <c:v>Conflict mediation and resolution</c:v>
                </c:pt>
                <c:pt idx="4">
                  <c:v>Do-no-harm approach</c:v>
                </c:pt>
                <c:pt idx="5">
                  <c:v>Humanitarian access and acceptance</c:v>
                </c:pt>
              </c:strCache>
            </c:strRef>
          </c:cat>
          <c:val>
            <c:numRef>
              <c:f>Sheet6!$A$20:$F$20</c:f>
              <c:numCache>
                <c:formatCode>0.0</c:formatCode>
                <c:ptCount val="6"/>
                <c:pt idx="0">
                  <c:v>3.6923076923076921</c:v>
                </c:pt>
                <c:pt idx="1">
                  <c:v>3.9230769230769229</c:v>
                </c:pt>
                <c:pt idx="2">
                  <c:v>3.6923076923076921</c:v>
                </c:pt>
                <c:pt idx="3">
                  <c:v>3.5384615384615379</c:v>
                </c:pt>
                <c:pt idx="4">
                  <c:v>3.615384615384615</c:v>
                </c:pt>
                <c:pt idx="5">
                  <c:v>3.384615384615385</c:v>
                </c:pt>
              </c:numCache>
            </c:numRef>
          </c:val>
        </c:ser>
        <c:dLbls>
          <c:showLegendKey val="0"/>
          <c:showVal val="0"/>
          <c:showCatName val="0"/>
          <c:showSerName val="0"/>
          <c:showPercent val="0"/>
          <c:showBubbleSize val="0"/>
        </c:dLbls>
        <c:gapWidth val="150"/>
        <c:axId val="381373296"/>
        <c:axId val="381373840"/>
      </c:barChart>
      <c:catAx>
        <c:axId val="381373296"/>
        <c:scaling>
          <c:orientation val="minMax"/>
        </c:scaling>
        <c:delete val="0"/>
        <c:axPos val="l"/>
        <c:numFmt formatCode="General" sourceLinked="0"/>
        <c:majorTickMark val="out"/>
        <c:minorTickMark val="none"/>
        <c:tickLblPos val="nextTo"/>
        <c:crossAx val="381373840"/>
        <c:crosses val="autoZero"/>
        <c:auto val="1"/>
        <c:lblAlgn val="ctr"/>
        <c:lblOffset val="100"/>
        <c:noMultiLvlLbl val="0"/>
      </c:catAx>
      <c:valAx>
        <c:axId val="381373840"/>
        <c:scaling>
          <c:orientation val="minMax"/>
        </c:scaling>
        <c:delete val="0"/>
        <c:axPos val="b"/>
        <c:majorGridlines/>
        <c:numFmt formatCode="0.0" sourceLinked="1"/>
        <c:majorTickMark val="out"/>
        <c:minorTickMark val="none"/>
        <c:tickLblPos val="nextTo"/>
        <c:crossAx val="381373296"/>
        <c:crosses val="autoZero"/>
        <c:crossBetween val="between"/>
      </c:valAx>
      <c:spPr>
        <a:solidFill>
          <a:schemeClr val="accent6">
            <a:lumMod val="75000"/>
          </a:schemeClr>
        </a:solidFill>
      </c:spPr>
    </c:plotArea>
    <c:legend>
      <c:legendPos val="r"/>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Other needs</a:t>
            </a:r>
          </a:p>
        </c:rich>
      </c:tx>
      <c:overlay val="0"/>
    </c:title>
    <c:autoTitleDeleted val="0"/>
    <c:plotArea>
      <c:layout/>
      <c:barChart>
        <c:barDir val="bar"/>
        <c:grouping val="clustered"/>
        <c:varyColors val="0"/>
        <c:ser>
          <c:idx val="0"/>
          <c:order val="0"/>
          <c:spPr>
            <a:solidFill>
              <a:srgbClr val="FFDFB1"/>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Sheet7!$A$1:$G$1</c:f>
              <c:strCache>
                <c:ptCount val="7"/>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Sheet7!$A$20:$G$20</c:f>
              <c:numCache>
                <c:formatCode>0.0</c:formatCode>
                <c:ptCount val="7"/>
                <c:pt idx="0">
                  <c:v>3.615384615384615</c:v>
                </c:pt>
                <c:pt idx="1">
                  <c:v>4.0769230769230758</c:v>
                </c:pt>
                <c:pt idx="2">
                  <c:v>3.384615384615385</c:v>
                </c:pt>
                <c:pt idx="3">
                  <c:v>3.307692307692307</c:v>
                </c:pt>
                <c:pt idx="4">
                  <c:v>3.2307692307692308</c:v>
                </c:pt>
                <c:pt idx="5">
                  <c:v>3.4615384615384621</c:v>
                </c:pt>
                <c:pt idx="6">
                  <c:v>3.615384615384615</c:v>
                </c:pt>
              </c:numCache>
            </c:numRef>
          </c:val>
        </c:ser>
        <c:dLbls>
          <c:showLegendKey val="0"/>
          <c:showVal val="0"/>
          <c:showCatName val="0"/>
          <c:showSerName val="0"/>
          <c:showPercent val="0"/>
          <c:showBubbleSize val="0"/>
        </c:dLbls>
        <c:gapWidth val="150"/>
        <c:axId val="381362960"/>
        <c:axId val="381379824"/>
      </c:barChart>
      <c:catAx>
        <c:axId val="381362960"/>
        <c:scaling>
          <c:orientation val="minMax"/>
        </c:scaling>
        <c:delete val="0"/>
        <c:axPos val="l"/>
        <c:numFmt formatCode="General" sourceLinked="0"/>
        <c:majorTickMark val="out"/>
        <c:minorTickMark val="none"/>
        <c:tickLblPos val="nextTo"/>
        <c:crossAx val="381379824"/>
        <c:crosses val="autoZero"/>
        <c:auto val="1"/>
        <c:lblAlgn val="ctr"/>
        <c:lblOffset val="100"/>
        <c:noMultiLvlLbl val="0"/>
      </c:catAx>
      <c:valAx>
        <c:axId val="381379824"/>
        <c:scaling>
          <c:orientation val="minMax"/>
        </c:scaling>
        <c:delete val="0"/>
        <c:axPos val="b"/>
        <c:majorGridlines/>
        <c:numFmt formatCode="0.0" sourceLinked="1"/>
        <c:majorTickMark val="out"/>
        <c:minorTickMark val="none"/>
        <c:tickLblPos val="nextTo"/>
        <c:crossAx val="381362960"/>
        <c:crosses val="autoZero"/>
        <c:crossBetween val="between"/>
      </c:valAx>
    </c:plotArea>
    <c:legend>
      <c:legendPos val="r"/>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cat>
            <c:strRef>
              <c:f>'[Social Stability Mainstreaming Survey Results for Analysis.docx.xls]Sheet1'!$AL$2:$AQ$2</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'[Social Stability Mainstreaming Survey Results for Analysis.docx.xls]Sheet1'!$AL$94:$AQ$94</c:f>
              <c:numCache>
                <c:formatCode>General</c:formatCode>
                <c:ptCount val="6"/>
                <c:pt idx="0">
                  <c:v>3.5405405405405408</c:v>
                </c:pt>
                <c:pt idx="1">
                  <c:v>3.959459459459457</c:v>
                </c:pt>
                <c:pt idx="2">
                  <c:v>3.4459459459459461</c:v>
                </c:pt>
                <c:pt idx="3">
                  <c:v>3.405405405405403</c:v>
                </c:pt>
                <c:pt idx="4">
                  <c:v>3.567567567567568</c:v>
                </c:pt>
                <c:pt idx="5">
                  <c:v>3.432432432432432</c:v>
                </c:pt>
              </c:numCache>
            </c:numRef>
          </c:val>
        </c:ser>
        <c:dLbls>
          <c:showLegendKey val="0"/>
          <c:showVal val="0"/>
          <c:showCatName val="0"/>
          <c:showSerName val="0"/>
          <c:showPercent val="0"/>
          <c:showBubbleSize val="0"/>
        </c:dLbls>
        <c:gapWidth val="150"/>
        <c:axId val="381364048"/>
        <c:axId val="381380912"/>
      </c:barChart>
      <c:catAx>
        <c:axId val="381364048"/>
        <c:scaling>
          <c:orientation val="minMax"/>
        </c:scaling>
        <c:delete val="0"/>
        <c:axPos val="l"/>
        <c:numFmt formatCode="General" sourceLinked="0"/>
        <c:majorTickMark val="out"/>
        <c:minorTickMark val="none"/>
        <c:tickLblPos val="nextTo"/>
        <c:crossAx val="381380912"/>
        <c:crosses val="autoZero"/>
        <c:auto val="1"/>
        <c:lblAlgn val="ctr"/>
        <c:lblOffset val="100"/>
        <c:noMultiLvlLbl val="0"/>
      </c:catAx>
      <c:valAx>
        <c:axId val="381380912"/>
        <c:scaling>
          <c:orientation val="minMax"/>
        </c:scaling>
        <c:delete val="0"/>
        <c:axPos val="b"/>
        <c:majorGridlines/>
        <c:numFmt formatCode="General" sourceLinked="1"/>
        <c:majorTickMark val="out"/>
        <c:minorTickMark val="none"/>
        <c:tickLblPos val="nextTo"/>
        <c:crossAx val="381364048"/>
        <c:crosses val="autoZero"/>
        <c:crossBetween val="between"/>
      </c:valAx>
    </c:plotArea>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4697843448537602"/>
          <c:y val="4.0544811594326297E-2"/>
          <c:w val="0.58909573059032005"/>
          <c:h val="0.87819104161855799"/>
        </c:manualLayout>
      </c:layout>
      <c:barChart>
        <c:barDir val="bar"/>
        <c:grouping val="clustered"/>
        <c:varyColors val="0"/>
        <c:ser>
          <c:idx val="0"/>
          <c:order val="0"/>
          <c:tx>
            <c:strRef>
              <c:f>'[Social Stability Mainstreaming Survey Results for Analysis.docx.xls]Sheet1'!$CU$2</c:f>
              <c:strCache>
                <c:ptCount val="1"/>
                <c:pt idx="0">
                  <c:v>Conflict analysis</c:v>
                </c:pt>
              </c:strCache>
            </c:strRef>
          </c:tx>
          <c:invertIfNegative val="0"/>
          <c:cat>
            <c:strRef>
              <c:f>'[Social Stability Mainstreaming Survey Results for Analysis.docx.xls]Sheet1'!$CU$2:$CZ$2</c:f>
              <c:strCache>
                <c:ptCount val="6"/>
                <c:pt idx="0">
                  <c:v>Conflict analysis</c:v>
                </c:pt>
                <c:pt idx="1">
                  <c:v>Conflict sensitive programming</c:v>
                </c:pt>
                <c:pt idx="2">
                  <c:v>Conflict sensitivity in the program cycle</c:v>
                </c:pt>
                <c:pt idx="3">
                  <c:v>Conflict mediation and resolution</c:v>
                </c:pt>
                <c:pt idx="4">
                  <c:v>Do-no-harm approach</c:v>
                </c:pt>
                <c:pt idx="5">
                  <c:v>Humanitarian access and acceptance</c:v>
                </c:pt>
              </c:strCache>
            </c:strRef>
          </c:cat>
          <c:val>
            <c:numRef>
              <c:f>'[Social Stability Mainstreaming Survey Results for Analysis.docx.xls]Sheet1'!$CU$92</c:f>
              <c:numCache>
                <c:formatCode>General</c:formatCode>
                <c:ptCount val="1"/>
                <c:pt idx="0">
                  <c:v>4</c:v>
                </c:pt>
              </c:numCache>
            </c:numRef>
          </c:val>
        </c:ser>
        <c:ser>
          <c:idx val="1"/>
          <c:order val="1"/>
          <c:tx>
            <c:strRef>
              <c:f>'[Social Stability Mainstreaming Survey Results for Analysis.docx.xls]Sheet1'!$CV$2</c:f>
              <c:strCache>
                <c:ptCount val="1"/>
                <c:pt idx="0">
                  <c:v>Conflict sensitive programming</c:v>
                </c:pt>
              </c:strCache>
            </c:strRef>
          </c:tx>
          <c:invertIfNegative val="0"/>
          <c:val>
            <c:numRef>
              <c:f>'[Social Stability Mainstreaming Survey Results for Analysis.docx.xls]Sheet1'!$CV$92</c:f>
              <c:numCache>
                <c:formatCode>General</c:formatCode>
                <c:ptCount val="1"/>
                <c:pt idx="0">
                  <c:v>4.1399999999999997</c:v>
                </c:pt>
              </c:numCache>
            </c:numRef>
          </c:val>
        </c:ser>
        <c:ser>
          <c:idx val="2"/>
          <c:order val="2"/>
          <c:tx>
            <c:strRef>
              <c:f>'[Social Stability Mainstreaming Survey Results for Analysis.docx.xls]Sheet1'!$CW$2</c:f>
              <c:strCache>
                <c:ptCount val="1"/>
                <c:pt idx="0">
                  <c:v>Conflict sensitivity in the program cycle</c:v>
                </c:pt>
              </c:strCache>
            </c:strRef>
          </c:tx>
          <c:invertIfNegative val="0"/>
          <c:val>
            <c:numRef>
              <c:f>'[Social Stability Mainstreaming Survey Results for Analysis.docx.xls]Sheet1'!$CW$92</c:f>
              <c:numCache>
                <c:formatCode>General</c:formatCode>
                <c:ptCount val="1"/>
                <c:pt idx="0">
                  <c:v>4.04</c:v>
                </c:pt>
              </c:numCache>
            </c:numRef>
          </c:val>
        </c:ser>
        <c:ser>
          <c:idx val="3"/>
          <c:order val="3"/>
          <c:tx>
            <c:strRef>
              <c:f>'[Social Stability Mainstreaming Survey Results for Analysis.docx.xls]Sheet1'!$CX$2</c:f>
              <c:strCache>
                <c:ptCount val="1"/>
                <c:pt idx="0">
                  <c:v>Conflict mediation and resolution</c:v>
                </c:pt>
              </c:strCache>
            </c:strRef>
          </c:tx>
          <c:invertIfNegative val="0"/>
          <c:val>
            <c:numRef>
              <c:f>'[Social Stability Mainstreaming Survey Results for Analysis.docx.xls]Sheet1'!$CX$92</c:f>
              <c:numCache>
                <c:formatCode>General</c:formatCode>
                <c:ptCount val="1"/>
                <c:pt idx="0">
                  <c:v>3.8</c:v>
                </c:pt>
              </c:numCache>
            </c:numRef>
          </c:val>
        </c:ser>
        <c:ser>
          <c:idx val="4"/>
          <c:order val="4"/>
          <c:tx>
            <c:strRef>
              <c:f>'[Social Stability Mainstreaming Survey Results for Analysis.docx.xls]Sheet1'!$CY$2</c:f>
              <c:strCache>
                <c:ptCount val="1"/>
                <c:pt idx="0">
                  <c:v>Do-no-harm approach</c:v>
                </c:pt>
              </c:strCache>
            </c:strRef>
          </c:tx>
          <c:invertIfNegative val="0"/>
          <c:val>
            <c:numRef>
              <c:f>'[Social Stability Mainstreaming Survey Results for Analysis.docx.xls]Sheet1'!$CY$92</c:f>
              <c:numCache>
                <c:formatCode>General</c:formatCode>
                <c:ptCount val="1"/>
                <c:pt idx="0">
                  <c:v>3.76</c:v>
                </c:pt>
              </c:numCache>
            </c:numRef>
          </c:val>
        </c:ser>
        <c:ser>
          <c:idx val="5"/>
          <c:order val="5"/>
          <c:tx>
            <c:strRef>
              <c:f>'[Social Stability Mainstreaming Survey Results for Analysis.docx.xls]Sheet1'!$CZ$2</c:f>
              <c:strCache>
                <c:ptCount val="1"/>
                <c:pt idx="0">
                  <c:v>Humanitarian access and acceptance</c:v>
                </c:pt>
              </c:strCache>
            </c:strRef>
          </c:tx>
          <c:invertIfNegative val="0"/>
          <c:val>
            <c:numRef>
              <c:f>'[Social Stability Mainstreaming Survey Results for Analysis.docx.xls]Sheet1'!$CZ$92</c:f>
              <c:numCache>
                <c:formatCode>General</c:formatCode>
                <c:ptCount val="1"/>
                <c:pt idx="0">
                  <c:v>3.7346938775510208</c:v>
                </c:pt>
              </c:numCache>
            </c:numRef>
          </c:val>
        </c:ser>
        <c:dLbls>
          <c:showLegendKey val="0"/>
          <c:showVal val="0"/>
          <c:showCatName val="0"/>
          <c:showSerName val="0"/>
          <c:showPercent val="0"/>
          <c:showBubbleSize val="0"/>
        </c:dLbls>
        <c:gapWidth val="150"/>
        <c:axId val="381382000"/>
        <c:axId val="381365680"/>
      </c:barChart>
      <c:catAx>
        <c:axId val="381382000"/>
        <c:scaling>
          <c:orientation val="minMax"/>
        </c:scaling>
        <c:delete val="1"/>
        <c:axPos val="l"/>
        <c:numFmt formatCode="General" sourceLinked="0"/>
        <c:majorTickMark val="out"/>
        <c:minorTickMark val="none"/>
        <c:tickLblPos val="nextTo"/>
        <c:crossAx val="381365680"/>
        <c:crosses val="autoZero"/>
        <c:auto val="1"/>
        <c:lblAlgn val="ctr"/>
        <c:lblOffset val="100"/>
        <c:noMultiLvlLbl val="0"/>
      </c:catAx>
      <c:valAx>
        <c:axId val="381365680"/>
        <c:scaling>
          <c:orientation val="minMax"/>
        </c:scaling>
        <c:delete val="0"/>
        <c:axPos val="b"/>
        <c:majorGridlines/>
        <c:numFmt formatCode="General" sourceLinked="1"/>
        <c:majorTickMark val="out"/>
        <c:minorTickMark val="none"/>
        <c:tickLblPos val="nextTo"/>
        <c:crossAx val="381382000"/>
        <c:crosses val="autoZero"/>
        <c:crossBetween val="between"/>
      </c:valAx>
    </c:plotArea>
    <c:legend>
      <c:legendPos val="r"/>
      <c:layout>
        <c:manualLayout>
          <c:xMode val="edge"/>
          <c:yMode val="edge"/>
          <c:x val="1.0572548623729699E-2"/>
          <c:y val="0.135985774488878"/>
          <c:w val="0.33042922847453199"/>
          <c:h val="0.725226045374465"/>
        </c:manualLayout>
      </c:layout>
      <c:overlay val="0"/>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cat>
            <c:strRef>
              <c:f>'[Social Stability Mainstreaming Survey Results for Analysis.docx.xls]Sheet1'!$DB$2:$DH$2</c:f>
              <c:strCache>
                <c:ptCount val="7"/>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'[Social Stability Mainstreaming Survey Results for Analysis.docx.xls]Sheet1'!$DB$92:$DH$92</c:f>
              <c:numCache>
                <c:formatCode>General</c:formatCode>
                <c:ptCount val="7"/>
                <c:pt idx="0">
                  <c:v>3.7755102040816331</c:v>
                </c:pt>
                <c:pt idx="1">
                  <c:v>4.1224489795918364</c:v>
                </c:pt>
                <c:pt idx="2">
                  <c:v>3.6530612244897962</c:v>
                </c:pt>
                <c:pt idx="3">
                  <c:v>3.3877551020408161</c:v>
                </c:pt>
                <c:pt idx="4">
                  <c:v>3.7346938775510208</c:v>
                </c:pt>
                <c:pt idx="5">
                  <c:v>3.6734693877551021</c:v>
                </c:pt>
                <c:pt idx="6">
                  <c:v>3.5918367346938771</c:v>
                </c:pt>
              </c:numCache>
            </c:numRef>
          </c:val>
        </c:ser>
        <c:dLbls>
          <c:showLegendKey val="0"/>
          <c:showVal val="0"/>
          <c:showCatName val="0"/>
          <c:showSerName val="0"/>
          <c:showPercent val="0"/>
          <c:showBubbleSize val="0"/>
        </c:dLbls>
        <c:gapWidth val="150"/>
        <c:axId val="381392880"/>
        <c:axId val="381386352"/>
      </c:barChart>
      <c:catAx>
        <c:axId val="381392880"/>
        <c:scaling>
          <c:orientation val="minMax"/>
        </c:scaling>
        <c:delete val="0"/>
        <c:axPos val="l"/>
        <c:numFmt formatCode="General" sourceLinked="0"/>
        <c:majorTickMark val="out"/>
        <c:minorTickMark val="none"/>
        <c:tickLblPos val="nextTo"/>
        <c:crossAx val="381386352"/>
        <c:crosses val="autoZero"/>
        <c:auto val="1"/>
        <c:lblAlgn val="ctr"/>
        <c:lblOffset val="100"/>
        <c:noMultiLvlLbl val="0"/>
      </c:catAx>
      <c:valAx>
        <c:axId val="381386352"/>
        <c:scaling>
          <c:orientation val="minMax"/>
          <c:min val="3.2"/>
        </c:scaling>
        <c:delete val="0"/>
        <c:axPos val="b"/>
        <c:majorGridlines/>
        <c:numFmt formatCode="General" sourceLinked="1"/>
        <c:majorTickMark val="out"/>
        <c:minorTickMark val="none"/>
        <c:tickLblPos val="nextTo"/>
        <c:crossAx val="381392880"/>
        <c:crosses val="autoZero"/>
        <c:crossBetween val="between"/>
      </c:valAx>
    </c:plotArea>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invertIfNegative val="0"/>
          <c:cat>
            <c:strRef>
              <c:f>Sheet4!$B$17:$B$22</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Sheet4!$C$17:$C$22</c:f>
              <c:numCache>
                <c:formatCode>0.00</c:formatCode>
                <c:ptCount val="6"/>
                <c:pt idx="0">
                  <c:v>3.625</c:v>
                </c:pt>
                <c:pt idx="1">
                  <c:v>4.25</c:v>
                </c:pt>
                <c:pt idx="2">
                  <c:v>3.6562499999999991</c:v>
                </c:pt>
                <c:pt idx="3">
                  <c:v>3.59375</c:v>
                </c:pt>
                <c:pt idx="4">
                  <c:v>3.6562499999999991</c:v>
                </c:pt>
                <c:pt idx="5">
                  <c:v>3.46875</c:v>
                </c:pt>
              </c:numCache>
            </c:numRef>
          </c:val>
        </c:ser>
        <c:dLbls>
          <c:showLegendKey val="0"/>
          <c:showVal val="0"/>
          <c:showCatName val="0"/>
          <c:showSerName val="0"/>
          <c:showPercent val="0"/>
          <c:showBubbleSize val="0"/>
        </c:dLbls>
        <c:gapWidth val="150"/>
        <c:axId val="381385808"/>
        <c:axId val="381384720"/>
      </c:barChart>
      <c:catAx>
        <c:axId val="381385808"/>
        <c:scaling>
          <c:orientation val="minMax"/>
        </c:scaling>
        <c:delete val="0"/>
        <c:axPos val="l"/>
        <c:numFmt formatCode="General" sourceLinked="0"/>
        <c:majorTickMark val="out"/>
        <c:minorTickMark val="none"/>
        <c:tickLblPos val="nextTo"/>
        <c:crossAx val="381384720"/>
        <c:crosses val="autoZero"/>
        <c:auto val="1"/>
        <c:lblAlgn val="ctr"/>
        <c:lblOffset val="100"/>
        <c:noMultiLvlLbl val="0"/>
      </c:catAx>
      <c:valAx>
        <c:axId val="381384720"/>
        <c:scaling>
          <c:orientation val="minMax"/>
        </c:scaling>
        <c:delete val="0"/>
        <c:axPos val="b"/>
        <c:majorGridlines/>
        <c:numFmt formatCode="0.00" sourceLinked="1"/>
        <c:majorTickMark val="out"/>
        <c:minorTickMark val="none"/>
        <c:tickLblPos val="nextTo"/>
        <c:crossAx val="381385808"/>
        <c:crosses val="autoZero"/>
        <c:crossBetween val="between"/>
      </c:valAx>
    </c:plotArea>
    <c:legend>
      <c:legendPos val="r"/>
      <c:overlay val="0"/>
    </c:legend>
    <c:plotVisOnly val="1"/>
    <c:dispBlanksAs val="gap"/>
    <c:showDLblsOverMax val="0"/>
  </c:chart>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invertIfNegative val="0"/>
          <c:cat>
            <c:strRef>
              <c:f>Sheet4!$B$28:$B$33</c:f>
              <c:strCache>
                <c:ptCount val="6"/>
                <c:pt idx="0">
                  <c:v>Our programs target host communities as well as refugee communities;</c:v>
                </c:pt>
                <c:pt idx="1">
                  <c:v>Our programs contribute to strengthening the role of local institutions and authorities (municipalities, SDCs) to manage the crisis;</c:v>
                </c:pt>
                <c:pt idx="2">
                  <c:v>Our programs support the delivery of basic services to decrease tensions related to pressure on basic services;</c:v>
                </c:pt>
                <c:pt idx="3">
                  <c:v> Our programs bring members from different communities together as part of our activities and builds trust between and within communities;</c:v>
                </c:pt>
                <c:pt idx="4">
                  <c:v>Our programs promote social stability values (civic engagement, volunteering, tolerance and peaceful coexistence, conflict mediation and resolution).</c:v>
                </c:pt>
                <c:pt idx="5">
                  <c:v>Other (please specify)</c:v>
                </c:pt>
              </c:strCache>
            </c:strRef>
          </c:cat>
          <c:val>
            <c:numRef>
              <c:f>Sheet4!$C$28:$C$33</c:f>
              <c:numCache>
                <c:formatCode>General</c:formatCode>
                <c:ptCount val="6"/>
                <c:pt idx="0">
                  <c:v>10</c:v>
                </c:pt>
                <c:pt idx="1">
                  <c:v>20</c:v>
                </c:pt>
                <c:pt idx="2">
                  <c:v>18</c:v>
                </c:pt>
                <c:pt idx="3">
                  <c:v>16</c:v>
                </c:pt>
                <c:pt idx="4">
                  <c:v>16</c:v>
                </c:pt>
                <c:pt idx="5">
                  <c:v>14</c:v>
                </c:pt>
              </c:numCache>
            </c:numRef>
          </c:val>
        </c:ser>
        <c:dLbls>
          <c:showLegendKey val="0"/>
          <c:showVal val="0"/>
          <c:showCatName val="0"/>
          <c:showSerName val="0"/>
          <c:showPercent val="0"/>
          <c:showBubbleSize val="0"/>
        </c:dLbls>
        <c:gapWidth val="150"/>
        <c:axId val="381393424"/>
        <c:axId val="381392336"/>
      </c:barChart>
      <c:catAx>
        <c:axId val="381393424"/>
        <c:scaling>
          <c:orientation val="minMax"/>
        </c:scaling>
        <c:delete val="0"/>
        <c:axPos val="l"/>
        <c:numFmt formatCode="General" sourceLinked="0"/>
        <c:majorTickMark val="out"/>
        <c:minorTickMark val="none"/>
        <c:tickLblPos val="nextTo"/>
        <c:crossAx val="381392336"/>
        <c:crosses val="autoZero"/>
        <c:auto val="1"/>
        <c:lblAlgn val="ctr"/>
        <c:lblOffset val="100"/>
        <c:noMultiLvlLbl val="0"/>
      </c:catAx>
      <c:valAx>
        <c:axId val="381392336"/>
        <c:scaling>
          <c:orientation val="minMax"/>
        </c:scaling>
        <c:delete val="0"/>
        <c:axPos val="b"/>
        <c:majorGridlines/>
        <c:numFmt formatCode="General" sourceLinked="1"/>
        <c:majorTickMark val="out"/>
        <c:minorTickMark val="none"/>
        <c:tickLblPos val="nextTo"/>
        <c:crossAx val="381393424"/>
        <c:crosses val="autoZero"/>
        <c:crossBetween val="between"/>
      </c:valAx>
    </c:plotArea>
    <c:plotVisOnly val="1"/>
    <c:dispBlanksAs val="gap"/>
    <c:showDLblsOverMax val="0"/>
  </c:chart>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invertIfNegative val="0"/>
          <c:cat>
            <c:strRef>
              <c:f>Sheet4!$B$39:$B$46</c:f>
              <c:strCache>
                <c:ptCount val="8"/>
                <c:pt idx="0">
                  <c:v>Ministry of Social Affairs &amp; Social Development Centers</c:v>
                </c:pt>
                <c:pt idx="1">
                  <c:v>Ministry of Interior and Municipalities</c:v>
                </c:pt>
                <c:pt idx="2">
                  <c:v>Ministry of Education and Higher Education</c:v>
                </c:pt>
                <c:pt idx="3">
                  <c:v>Ministry of Public Health</c:v>
                </c:pt>
                <c:pt idx="4">
                  <c:v>Municipalities</c:v>
                </c:pt>
                <c:pt idx="5">
                  <c:v>Union of Municipalities</c:v>
                </c:pt>
                <c:pt idx="6">
                  <c:v>Primary/Secondary Health Care Centers</c:v>
                </c:pt>
                <c:pt idx="7">
                  <c:v>Security forces</c:v>
                </c:pt>
              </c:strCache>
            </c:strRef>
          </c:cat>
          <c:val>
            <c:numRef>
              <c:f>Sheet4!$C$39:$C$46</c:f>
              <c:numCache>
                <c:formatCode>0.00</c:formatCode>
                <c:ptCount val="8"/>
                <c:pt idx="0">
                  <c:v>3.2083333333333339</c:v>
                </c:pt>
                <c:pt idx="1">
                  <c:v>2.48</c:v>
                </c:pt>
                <c:pt idx="2">
                  <c:v>2.4782608695652169</c:v>
                </c:pt>
                <c:pt idx="3">
                  <c:v>2.0833333333333339</c:v>
                </c:pt>
                <c:pt idx="4">
                  <c:v>3.7083333333333339</c:v>
                </c:pt>
                <c:pt idx="5">
                  <c:v>2.875</c:v>
                </c:pt>
                <c:pt idx="6">
                  <c:v>2.4166666666666661</c:v>
                </c:pt>
                <c:pt idx="7">
                  <c:v>2.04</c:v>
                </c:pt>
              </c:numCache>
            </c:numRef>
          </c:val>
        </c:ser>
        <c:dLbls>
          <c:showLegendKey val="0"/>
          <c:showVal val="0"/>
          <c:showCatName val="0"/>
          <c:showSerName val="0"/>
          <c:showPercent val="0"/>
          <c:showBubbleSize val="0"/>
        </c:dLbls>
        <c:gapWidth val="150"/>
        <c:axId val="381383632"/>
        <c:axId val="381384176"/>
      </c:barChart>
      <c:catAx>
        <c:axId val="381383632"/>
        <c:scaling>
          <c:orientation val="minMax"/>
        </c:scaling>
        <c:delete val="0"/>
        <c:axPos val="l"/>
        <c:numFmt formatCode="General" sourceLinked="0"/>
        <c:majorTickMark val="out"/>
        <c:minorTickMark val="none"/>
        <c:tickLblPos val="nextTo"/>
        <c:crossAx val="381384176"/>
        <c:crosses val="autoZero"/>
        <c:auto val="1"/>
        <c:lblAlgn val="ctr"/>
        <c:lblOffset val="100"/>
        <c:noMultiLvlLbl val="0"/>
      </c:catAx>
      <c:valAx>
        <c:axId val="381384176"/>
        <c:scaling>
          <c:orientation val="minMax"/>
        </c:scaling>
        <c:delete val="0"/>
        <c:axPos val="b"/>
        <c:majorGridlines/>
        <c:numFmt formatCode="0.00" sourceLinked="1"/>
        <c:majorTickMark val="out"/>
        <c:minorTickMark val="none"/>
        <c:tickLblPos val="nextTo"/>
        <c:crossAx val="381383632"/>
        <c:crosses val="autoZero"/>
        <c:crossBetween val="between"/>
      </c:valAx>
    </c:plotArea>
    <c:legend>
      <c:legendPos val="r"/>
      <c:overlay val="0"/>
    </c:legend>
    <c:plotVisOnly val="1"/>
    <c:dispBlanksAs val="gap"/>
    <c:showDLblsOverMax val="0"/>
  </c:chart>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invertIfNegative val="0"/>
          <c:cat>
            <c:strRef>
              <c:f>Sheet4!$B$51:$B$56</c:f>
              <c:strCache>
                <c:ptCount val="6"/>
                <c:pt idx="0">
                  <c:v>Conflict analysis</c:v>
                </c:pt>
                <c:pt idx="1">
                  <c:v>Conflict sensitive programming</c:v>
                </c:pt>
                <c:pt idx="2">
                  <c:v>Conflict sensitivity in the program cycle</c:v>
                </c:pt>
                <c:pt idx="3">
                  <c:v>Conflict mediation and resolution</c:v>
                </c:pt>
                <c:pt idx="4">
                  <c:v>Do-no-harm approach</c:v>
                </c:pt>
                <c:pt idx="5">
                  <c:v>Humanitarian access and acceptance</c:v>
                </c:pt>
              </c:strCache>
            </c:strRef>
          </c:cat>
          <c:val>
            <c:numRef>
              <c:f>Sheet4!$C$51:$C$56</c:f>
              <c:numCache>
                <c:formatCode>0.00</c:formatCode>
                <c:ptCount val="6"/>
                <c:pt idx="0">
                  <c:v>4.3043478260869543</c:v>
                </c:pt>
                <c:pt idx="1">
                  <c:v>4.4347826086956514</c:v>
                </c:pt>
                <c:pt idx="2">
                  <c:v>4.2173913043478271</c:v>
                </c:pt>
                <c:pt idx="3">
                  <c:v>4.1739130434782608</c:v>
                </c:pt>
                <c:pt idx="4">
                  <c:v>3.956521739130435</c:v>
                </c:pt>
                <c:pt idx="5">
                  <c:v>4.0434782608695654</c:v>
                </c:pt>
              </c:numCache>
            </c:numRef>
          </c:val>
        </c:ser>
        <c:dLbls>
          <c:showLegendKey val="0"/>
          <c:showVal val="0"/>
          <c:showCatName val="0"/>
          <c:showSerName val="0"/>
          <c:showPercent val="0"/>
          <c:showBubbleSize val="0"/>
        </c:dLbls>
        <c:gapWidth val="150"/>
        <c:axId val="381389616"/>
        <c:axId val="381390704"/>
      </c:barChart>
      <c:catAx>
        <c:axId val="381389616"/>
        <c:scaling>
          <c:orientation val="minMax"/>
        </c:scaling>
        <c:delete val="0"/>
        <c:axPos val="l"/>
        <c:numFmt formatCode="General" sourceLinked="0"/>
        <c:majorTickMark val="out"/>
        <c:minorTickMark val="none"/>
        <c:tickLblPos val="nextTo"/>
        <c:crossAx val="381390704"/>
        <c:crosses val="autoZero"/>
        <c:auto val="1"/>
        <c:lblAlgn val="ctr"/>
        <c:lblOffset val="100"/>
        <c:noMultiLvlLbl val="0"/>
      </c:catAx>
      <c:valAx>
        <c:axId val="381390704"/>
        <c:scaling>
          <c:orientation val="minMax"/>
        </c:scaling>
        <c:delete val="0"/>
        <c:axPos val="b"/>
        <c:majorGridlines/>
        <c:numFmt formatCode="0.00" sourceLinked="1"/>
        <c:majorTickMark val="out"/>
        <c:minorTickMark val="none"/>
        <c:tickLblPos val="nextTo"/>
        <c:crossAx val="381389616"/>
        <c:crosses val="autoZero"/>
        <c:crossBetween val="between"/>
      </c:valAx>
    </c:plotArea>
    <c:plotVisOnly val="1"/>
    <c:dispBlanksAs val="gap"/>
    <c:showDLblsOverMax val="0"/>
  </c:chart>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invertIfNegative val="0"/>
          <c:cat>
            <c:strRef>
              <c:f>Sheet4!$B$62:$B$68</c:f>
              <c:strCache>
                <c:ptCount val="7"/>
                <c:pt idx="0">
                  <c:v> 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Sheet4!$C$62:$C$68</c:f>
              <c:numCache>
                <c:formatCode>0.00</c:formatCode>
                <c:ptCount val="7"/>
                <c:pt idx="0">
                  <c:v>3.9130434782608692</c:v>
                </c:pt>
                <c:pt idx="1">
                  <c:v>4.3478260869565206</c:v>
                </c:pt>
                <c:pt idx="2">
                  <c:v>3.7826086956521738</c:v>
                </c:pt>
                <c:pt idx="3">
                  <c:v>3.6086956521739131</c:v>
                </c:pt>
                <c:pt idx="4">
                  <c:v>3.7826086956521738</c:v>
                </c:pt>
                <c:pt idx="5">
                  <c:v>4</c:v>
                </c:pt>
                <c:pt idx="6">
                  <c:v>4.0434782608695654</c:v>
                </c:pt>
              </c:numCache>
            </c:numRef>
          </c:val>
        </c:ser>
        <c:dLbls>
          <c:showLegendKey val="0"/>
          <c:showVal val="0"/>
          <c:showCatName val="0"/>
          <c:showSerName val="0"/>
          <c:showPercent val="0"/>
          <c:showBubbleSize val="0"/>
        </c:dLbls>
        <c:gapWidth val="150"/>
        <c:axId val="381394512"/>
        <c:axId val="381395056"/>
      </c:barChart>
      <c:catAx>
        <c:axId val="381394512"/>
        <c:scaling>
          <c:orientation val="minMax"/>
        </c:scaling>
        <c:delete val="0"/>
        <c:axPos val="l"/>
        <c:numFmt formatCode="General" sourceLinked="0"/>
        <c:majorTickMark val="out"/>
        <c:minorTickMark val="none"/>
        <c:tickLblPos val="nextTo"/>
        <c:crossAx val="381395056"/>
        <c:crosses val="autoZero"/>
        <c:auto val="1"/>
        <c:lblAlgn val="ctr"/>
        <c:lblOffset val="100"/>
        <c:noMultiLvlLbl val="0"/>
      </c:catAx>
      <c:valAx>
        <c:axId val="381395056"/>
        <c:scaling>
          <c:orientation val="minMax"/>
        </c:scaling>
        <c:delete val="0"/>
        <c:axPos val="b"/>
        <c:majorGridlines/>
        <c:numFmt formatCode="0.00" sourceLinked="1"/>
        <c:majorTickMark val="out"/>
        <c:minorTickMark val="none"/>
        <c:tickLblPos val="nextTo"/>
        <c:crossAx val="381394512"/>
        <c:crosses val="autoZero"/>
        <c:crossBetween val="between"/>
      </c:valAx>
    </c:plotArea>
    <c:legend>
      <c:legendPos val="r"/>
      <c:overlay val="0"/>
    </c:legend>
    <c:plotVisOnly val="1"/>
    <c:dispBlanksAs val="gap"/>
    <c:showDLblsOverMax val="0"/>
  </c:chart>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cat>
            <c:strRef>
              <c:f>'[Social Stability Mainstreaming Survey Results for Analysis docx.xls]BA analysis'!$B$9:$G$9</c:f>
              <c:strCache>
                <c:ptCount val="6"/>
                <c:pt idx="0">
                  <c:v>Structural causes of conflicts in Lebanon</c:v>
                </c:pt>
                <c:pt idx="1">
                  <c:v>General perceptions of international assistance by communities and beneficiaries</c:v>
                </c:pt>
                <c:pt idx="2">
                  <c:v>Causes of tensions between refugees and host communities</c:v>
                </c:pt>
                <c:pt idx="3">
                  <c:v>Conflict triggers and potential causes for violence</c:v>
                </c:pt>
                <c:pt idx="4">
                  <c:v>Negative/positive impact of international assistance on causes of tensions</c:v>
                </c:pt>
                <c:pt idx="5">
                  <c:v>Areas where social tensions are particularly high</c:v>
                </c:pt>
              </c:strCache>
            </c:strRef>
          </c:cat>
          <c:val>
            <c:numRef>
              <c:f>'[Social Stability Mainstreaming Survey Results for Analysis docx.xls]BA analysis'!$B$10:$G$10</c:f>
              <c:numCache>
                <c:formatCode>General</c:formatCode>
                <c:ptCount val="6"/>
                <c:pt idx="0">
                  <c:v>3.5652173913043481</c:v>
                </c:pt>
                <c:pt idx="1">
                  <c:v>3.652173913043478</c:v>
                </c:pt>
                <c:pt idx="2">
                  <c:v>4.1739130434782608</c:v>
                </c:pt>
                <c:pt idx="3">
                  <c:v>3.8695652173913042</c:v>
                </c:pt>
                <c:pt idx="4">
                  <c:v>3.6086956521739131</c:v>
                </c:pt>
                <c:pt idx="5">
                  <c:v>3.8260869565217388</c:v>
                </c:pt>
              </c:numCache>
            </c:numRef>
          </c:val>
        </c:ser>
        <c:dLbls>
          <c:showLegendKey val="0"/>
          <c:showVal val="0"/>
          <c:showCatName val="0"/>
          <c:showSerName val="0"/>
          <c:showPercent val="0"/>
          <c:showBubbleSize val="0"/>
        </c:dLbls>
        <c:gapWidth val="150"/>
        <c:axId val="381396688"/>
        <c:axId val="371890560"/>
      </c:barChart>
      <c:catAx>
        <c:axId val="381396688"/>
        <c:scaling>
          <c:orientation val="minMax"/>
        </c:scaling>
        <c:delete val="0"/>
        <c:axPos val="l"/>
        <c:numFmt formatCode="General" sourceLinked="0"/>
        <c:majorTickMark val="out"/>
        <c:minorTickMark val="none"/>
        <c:tickLblPos val="nextTo"/>
        <c:crossAx val="371890560"/>
        <c:crosses val="autoZero"/>
        <c:auto val="1"/>
        <c:lblAlgn val="ctr"/>
        <c:lblOffset val="100"/>
        <c:noMultiLvlLbl val="0"/>
      </c:catAx>
      <c:valAx>
        <c:axId val="371890560"/>
        <c:scaling>
          <c:orientation val="minMax"/>
        </c:scaling>
        <c:delete val="0"/>
        <c:axPos val="b"/>
        <c:majorGridlines>
          <c:spPr>
            <a:ln>
              <a:noFill/>
            </a:ln>
          </c:spPr>
        </c:majorGridlines>
        <c:numFmt formatCode="General" sourceLinked="1"/>
        <c:majorTickMark val="out"/>
        <c:minorTickMark val="none"/>
        <c:tickLblPos val="nextTo"/>
        <c:crossAx val="381396688"/>
        <c:crosses val="autoZero"/>
        <c:crossBetween val="between"/>
      </c:valAx>
    </c:plotArea>
    <c:plotVisOnly val="1"/>
    <c:dispBlanksAs val="gap"/>
    <c:showDLblsOverMax val="0"/>
  </c:chart>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cat>
            <c:strRef>
              <c:f>'[Social Stability Mainstreaming Survey Results for Analysis docx.xls]BA analysis'!$B$8:$F$8</c:f>
              <c:strCache>
                <c:ptCount val="5"/>
                <c:pt idx="0">
                  <c:v>Target host communities as well as refugee communities;</c:v>
                </c:pt>
                <c:pt idx="1">
                  <c:v>Support the delivery of basic services to decrease tensions related to strained services</c:v>
                </c:pt>
                <c:pt idx="2">
                  <c:v>Strengthening the role of local institutions and authorities to manage the crisis;</c:v>
                </c:pt>
                <c:pt idx="3">
                  <c:v>Promote social stability values </c:v>
                </c:pt>
                <c:pt idx="4">
                  <c:v>Bring members from different communities together as part of our activities and builds trust</c:v>
                </c:pt>
              </c:strCache>
            </c:strRef>
          </c:cat>
          <c:val>
            <c:numRef>
              <c:f>'[Social Stability Mainstreaming Survey Results for Analysis docx.xls]BA analysis'!$B$9:$F$9</c:f>
              <c:numCache>
                <c:formatCode>General</c:formatCode>
                <c:ptCount val="5"/>
                <c:pt idx="0">
                  <c:v>6</c:v>
                </c:pt>
                <c:pt idx="1">
                  <c:v>11</c:v>
                </c:pt>
                <c:pt idx="2">
                  <c:v>13</c:v>
                </c:pt>
                <c:pt idx="3">
                  <c:v>10</c:v>
                </c:pt>
                <c:pt idx="4">
                  <c:v>13</c:v>
                </c:pt>
              </c:numCache>
            </c:numRef>
          </c:val>
        </c:ser>
        <c:dLbls>
          <c:showLegendKey val="0"/>
          <c:showVal val="0"/>
          <c:showCatName val="0"/>
          <c:showSerName val="0"/>
          <c:showPercent val="0"/>
          <c:showBubbleSize val="0"/>
        </c:dLbls>
        <c:gapWidth val="150"/>
        <c:axId val="371888384"/>
        <c:axId val="371894368"/>
      </c:barChart>
      <c:catAx>
        <c:axId val="371888384"/>
        <c:scaling>
          <c:orientation val="minMax"/>
        </c:scaling>
        <c:delete val="0"/>
        <c:axPos val="l"/>
        <c:numFmt formatCode="General" sourceLinked="0"/>
        <c:majorTickMark val="out"/>
        <c:minorTickMark val="none"/>
        <c:tickLblPos val="nextTo"/>
        <c:crossAx val="371894368"/>
        <c:crosses val="autoZero"/>
        <c:auto val="1"/>
        <c:lblAlgn val="ctr"/>
        <c:lblOffset val="100"/>
        <c:noMultiLvlLbl val="0"/>
      </c:catAx>
      <c:valAx>
        <c:axId val="371894368"/>
        <c:scaling>
          <c:orientation val="minMax"/>
        </c:scaling>
        <c:delete val="0"/>
        <c:axPos val="b"/>
        <c:majorGridlines>
          <c:spPr>
            <a:ln>
              <a:noFill/>
            </a:ln>
          </c:spPr>
        </c:majorGridlines>
        <c:numFmt formatCode="General" sourceLinked="1"/>
        <c:majorTickMark val="out"/>
        <c:minorTickMark val="none"/>
        <c:tickLblPos val="nextTo"/>
        <c:crossAx val="371888384"/>
        <c:crosses val="autoZero"/>
        <c:crossBetween val="between"/>
      </c:valAx>
    </c:plotArea>
    <c:plotVisOnly val="1"/>
    <c:dispBlanksAs val="gap"/>
    <c:showDLblsOverMax val="0"/>
  </c:chart>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cat>
            <c:strRef>
              <c:f>'[Social Stability Mainstreaming Survey Results for Analysis docx.xls]BA analysis'!$B$8:$F$8</c:f>
              <c:strCache>
                <c:ptCount val="5"/>
                <c:pt idx="0">
                  <c:v>Conflict analysis</c:v>
                </c:pt>
                <c:pt idx="1">
                  <c:v>Conflict sensitive programming</c:v>
                </c:pt>
                <c:pt idx="2">
                  <c:v>Conflict sensitivity in the program cycle</c:v>
                </c:pt>
                <c:pt idx="3">
                  <c:v>Conflict mediation and resolution</c:v>
                </c:pt>
                <c:pt idx="4">
                  <c:v>Do-no-harm approach</c:v>
                </c:pt>
              </c:strCache>
            </c:strRef>
          </c:cat>
          <c:val>
            <c:numRef>
              <c:f>'[Social Stability Mainstreaming Survey Results for Analysis docx.xls]BA analysis'!$B$9:$F$9</c:f>
              <c:numCache>
                <c:formatCode>General</c:formatCode>
                <c:ptCount val="5"/>
                <c:pt idx="0">
                  <c:v>4.1333333333333364</c:v>
                </c:pt>
                <c:pt idx="1">
                  <c:v>4.4666666666666668</c:v>
                </c:pt>
                <c:pt idx="2">
                  <c:v>4.333333333333333</c:v>
                </c:pt>
                <c:pt idx="3">
                  <c:v>4</c:v>
                </c:pt>
                <c:pt idx="4">
                  <c:v>3.8666666666666671</c:v>
                </c:pt>
              </c:numCache>
            </c:numRef>
          </c:val>
        </c:ser>
        <c:dLbls>
          <c:showLegendKey val="0"/>
          <c:showVal val="0"/>
          <c:showCatName val="0"/>
          <c:showSerName val="0"/>
          <c:showPercent val="0"/>
          <c:showBubbleSize val="0"/>
        </c:dLbls>
        <c:gapWidth val="150"/>
        <c:axId val="371895456"/>
        <c:axId val="371886208"/>
      </c:barChart>
      <c:catAx>
        <c:axId val="371895456"/>
        <c:scaling>
          <c:orientation val="minMax"/>
        </c:scaling>
        <c:delete val="0"/>
        <c:axPos val="l"/>
        <c:numFmt formatCode="General" sourceLinked="1"/>
        <c:majorTickMark val="out"/>
        <c:minorTickMark val="none"/>
        <c:tickLblPos val="nextTo"/>
        <c:crossAx val="371886208"/>
        <c:crosses val="autoZero"/>
        <c:auto val="1"/>
        <c:lblAlgn val="ctr"/>
        <c:lblOffset val="100"/>
        <c:noMultiLvlLbl val="0"/>
      </c:catAx>
      <c:valAx>
        <c:axId val="371886208"/>
        <c:scaling>
          <c:orientation val="minMax"/>
          <c:min val="0"/>
        </c:scaling>
        <c:delete val="0"/>
        <c:axPos val="b"/>
        <c:majorGridlines>
          <c:spPr>
            <a:ln>
              <a:noFill/>
            </a:ln>
          </c:spPr>
        </c:majorGridlines>
        <c:numFmt formatCode="General" sourceLinked="1"/>
        <c:majorTickMark val="out"/>
        <c:minorTickMark val="none"/>
        <c:tickLblPos val="nextTo"/>
        <c:crossAx val="371895456"/>
        <c:crosses val="autoZero"/>
        <c:crossBetween val="between"/>
      </c:valAx>
    </c:plotArea>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55013552851348102"/>
          <c:y val="5.5137844611528798E-2"/>
          <c:w val="0.414849280203611"/>
          <c:h val="0.81928995717640596"/>
        </c:manualLayout>
      </c:layout>
      <c:barChart>
        <c:barDir val="bar"/>
        <c:grouping val="clustered"/>
        <c:varyColors val="0"/>
        <c:ser>
          <c:idx val="0"/>
          <c:order val="0"/>
          <c:invertIfNegative val="0"/>
          <c:cat>
            <c:strRef>
              <c:f>'[Social Stability Mainstreaming Survey Results for Analysis docx.xls]BA analysis'!$B$9:$H$9</c:f>
              <c:strCache>
                <c:ptCount val="7"/>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'[Social Stability Mainstreaming Survey Results for Analysis docx.xls]BA analysis'!$B$10:$H$10</c:f>
              <c:numCache>
                <c:formatCode>General</c:formatCode>
                <c:ptCount val="7"/>
                <c:pt idx="0">
                  <c:v>3.9333333333333331</c:v>
                </c:pt>
                <c:pt idx="1">
                  <c:v>4.333333333333333</c:v>
                </c:pt>
                <c:pt idx="2">
                  <c:v>3.6666666666666661</c:v>
                </c:pt>
                <c:pt idx="3">
                  <c:v>3.7333333333333338</c:v>
                </c:pt>
                <c:pt idx="4">
                  <c:v>3.6666666666666661</c:v>
                </c:pt>
                <c:pt idx="5">
                  <c:v>3.6666666666666661</c:v>
                </c:pt>
                <c:pt idx="6">
                  <c:v>3.7333333333333338</c:v>
                </c:pt>
              </c:numCache>
            </c:numRef>
          </c:val>
        </c:ser>
        <c:dLbls>
          <c:showLegendKey val="0"/>
          <c:showVal val="0"/>
          <c:showCatName val="0"/>
          <c:showSerName val="0"/>
          <c:showPercent val="0"/>
          <c:showBubbleSize val="0"/>
        </c:dLbls>
        <c:gapWidth val="150"/>
        <c:axId val="371893280"/>
        <c:axId val="371881856"/>
      </c:barChart>
      <c:catAx>
        <c:axId val="371893280"/>
        <c:scaling>
          <c:orientation val="minMax"/>
        </c:scaling>
        <c:delete val="0"/>
        <c:axPos val="l"/>
        <c:numFmt formatCode="General" sourceLinked="0"/>
        <c:majorTickMark val="out"/>
        <c:minorTickMark val="none"/>
        <c:tickLblPos val="nextTo"/>
        <c:crossAx val="371881856"/>
        <c:crosses val="autoZero"/>
        <c:auto val="1"/>
        <c:lblAlgn val="ctr"/>
        <c:lblOffset val="100"/>
        <c:noMultiLvlLbl val="0"/>
      </c:catAx>
      <c:valAx>
        <c:axId val="371881856"/>
        <c:scaling>
          <c:orientation val="minMax"/>
        </c:scaling>
        <c:delete val="0"/>
        <c:axPos val="b"/>
        <c:majorGridlines>
          <c:spPr>
            <a:ln>
              <a:noFill/>
            </a:ln>
          </c:spPr>
        </c:majorGridlines>
        <c:numFmt formatCode="General" sourceLinked="1"/>
        <c:majorTickMark val="out"/>
        <c:minorTickMark val="none"/>
        <c:tickLblPos val="nextTo"/>
        <c:crossAx val="371893280"/>
        <c:crosses val="autoZero"/>
        <c:crossBetween val="between"/>
      </c:valAx>
    </c:plotArea>
    <c:plotVisOnly val="1"/>
    <c:dispBlanksAs val="gap"/>
    <c:showDLblsOverMax val="0"/>
  </c:chart>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cat>
            <c:strRef>
              <c:f>'[Social Stability Mainstreaming Survey Results for Analysis docx.xls]Shelter analysis'!$B$10:$G$10</c:f>
              <c:strCache>
                <c:ptCount val="6"/>
                <c:pt idx="0">
                  <c:v>Structural causes of conflicts in Lebanon</c:v>
                </c:pt>
                <c:pt idx="1">
                  <c:v>General perceptions of international assistance by communities and beneficiaries</c:v>
                </c:pt>
                <c:pt idx="2">
                  <c:v>Causes of tensions between refugees and host communities</c:v>
                </c:pt>
                <c:pt idx="3">
                  <c:v>Conflict triggers and potential causes for violence</c:v>
                </c:pt>
                <c:pt idx="4">
                  <c:v>Negative/positive impact of international assistance on causes of tensions</c:v>
                </c:pt>
                <c:pt idx="5">
                  <c:v>Areas where social tensions are particularly high</c:v>
                </c:pt>
              </c:strCache>
            </c:strRef>
          </c:cat>
          <c:val>
            <c:numRef>
              <c:f>'[Social Stability Mainstreaming Survey Results for Analysis docx.xls]Shelter analysis'!$B$11:$G$11</c:f>
              <c:numCache>
                <c:formatCode>General</c:formatCode>
                <c:ptCount val="6"/>
                <c:pt idx="0">
                  <c:v>3.5584415584415598</c:v>
                </c:pt>
                <c:pt idx="1">
                  <c:v>3.441558441558441</c:v>
                </c:pt>
                <c:pt idx="2">
                  <c:v>3.9740259740259738</c:v>
                </c:pt>
                <c:pt idx="3">
                  <c:v>3.441558441558441</c:v>
                </c:pt>
                <c:pt idx="4">
                  <c:v>3.5974025974025978</c:v>
                </c:pt>
                <c:pt idx="5">
                  <c:v>3.4675324675324681</c:v>
                </c:pt>
              </c:numCache>
            </c:numRef>
          </c:val>
        </c:ser>
        <c:dLbls>
          <c:showLegendKey val="0"/>
          <c:showVal val="0"/>
          <c:showCatName val="0"/>
          <c:showSerName val="0"/>
          <c:showPercent val="0"/>
          <c:showBubbleSize val="0"/>
        </c:dLbls>
        <c:gapWidth val="150"/>
        <c:axId val="371891104"/>
        <c:axId val="371888928"/>
      </c:barChart>
      <c:catAx>
        <c:axId val="371891104"/>
        <c:scaling>
          <c:orientation val="minMax"/>
        </c:scaling>
        <c:delete val="0"/>
        <c:axPos val="l"/>
        <c:numFmt formatCode="General" sourceLinked="0"/>
        <c:majorTickMark val="out"/>
        <c:minorTickMark val="none"/>
        <c:tickLblPos val="nextTo"/>
        <c:crossAx val="371888928"/>
        <c:crosses val="autoZero"/>
        <c:auto val="1"/>
        <c:lblAlgn val="ctr"/>
        <c:lblOffset val="100"/>
        <c:noMultiLvlLbl val="0"/>
      </c:catAx>
      <c:valAx>
        <c:axId val="371888928"/>
        <c:scaling>
          <c:orientation val="minMax"/>
        </c:scaling>
        <c:delete val="0"/>
        <c:axPos val="b"/>
        <c:majorGridlines>
          <c:spPr>
            <a:ln>
              <a:noFill/>
            </a:ln>
          </c:spPr>
        </c:majorGridlines>
        <c:numFmt formatCode="General" sourceLinked="1"/>
        <c:majorTickMark val="out"/>
        <c:minorTickMark val="none"/>
        <c:tickLblPos val="nextTo"/>
        <c:crossAx val="371891104"/>
        <c:crosses val="autoZero"/>
        <c:crossBetween val="between"/>
      </c:valAx>
    </c:plotArea>
    <c:plotVisOnly val="1"/>
    <c:dispBlanksAs val="gap"/>
    <c:showDLblsOverMax val="0"/>
  </c:chart>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53151911711664601"/>
          <c:y val="5.0925925925925902E-2"/>
          <c:w val="0.43589806788362401"/>
          <c:h val="0.80994604841061502"/>
        </c:manualLayout>
      </c:layout>
      <c:barChart>
        <c:barDir val="bar"/>
        <c:grouping val="clustered"/>
        <c:varyColors val="0"/>
        <c:ser>
          <c:idx val="0"/>
          <c:order val="0"/>
          <c:invertIfNegative val="0"/>
          <c:cat>
            <c:strRef>
              <c:f>'[Social Stability Mainstreaming Survey Results for Analysis docx.xls]Shelter anaylsis'!$B$8:$F$8</c:f>
              <c:strCache>
                <c:ptCount val="5"/>
                <c:pt idx="0">
                  <c:v>Target host communities as well as refugee communities;</c:v>
                </c:pt>
                <c:pt idx="1">
                  <c:v>Support the delivery of basic services to decrease tensions related to strained services</c:v>
                </c:pt>
                <c:pt idx="2">
                  <c:v>Strengthening the role of local institutions and authorities to manage the crisis;</c:v>
                </c:pt>
                <c:pt idx="3">
                  <c:v>Promote social stability values </c:v>
                </c:pt>
                <c:pt idx="4">
                  <c:v>Bring members from different communities together as part of our activities and builds trust</c:v>
                </c:pt>
              </c:strCache>
            </c:strRef>
          </c:cat>
          <c:val>
            <c:numRef>
              <c:f>'[Social Stability Mainstreaming Survey Results for Analysis docx.xls]Shelter anaylsis'!$B$9:$F$9</c:f>
              <c:numCache>
                <c:formatCode>General</c:formatCode>
                <c:ptCount val="5"/>
                <c:pt idx="0">
                  <c:v>6</c:v>
                </c:pt>
                <c:pt idx="1">
                  <c:v>10</c:v>
                </c:pt>
                <c:pt idx="2">
                  <c:v>5</c:v>
                </c:pt>
                <c:pt idx="3">
                  <c:v>11</c:v>
                </c:pt>
                <c:pt idx="4">
                  <c:v>9</c:v>
                </c:pt>
              </c:numCache>
            </c:numRef>
          </c:val>
        </c:ser>
        <c:dLbls>
          <c:showLegendKey val="0"/>
          <c:showVal val="0"/>
          <c:showCatName val="0"/>
          <c:showSerName val="0"/>
          <c:showPercent val="0"/>
          <c:showBubbleSize val="0"/>
        </c:dLbls>
        <c:gapWidth val="150"/>
        <c:axId val="371886752"/>
        <c:axId val="371891648"/>
      </c:barChart>
      <c:catAx>
        <c:axId val="371886752"/>
        <c:scaling>
          <c:orientation val="minMax"/>
        </c:scaling>
        <c:delete val="0"/>
        <c:axPos val="l"/>
        <c:numFmt formatCode="General" sourceLinked="0"/>
        <c:majorTickMark val="out"/>
        <c:minorTickMark val="none"/>
        <c:tickLblPos val="nextTo"/>
        <c:crossAx val="371891648"/>
        <c:crosses val="autoZero"/>
        <c:auto val="1"/>
        <c:lblAlgn val="ctr"/>
        <c:lblOffset val="100"/>
        <c:noMultiLvlLbl val="0"/>
      </c:catAx>
      <c:valAx>
        <c:axId val="371891648"/>
        <c:scaling>
          <c:orientation val="minMax"/>
        </c:scaling>
        <c:delete val="0"/>
        <c:axPos val="b"/>
        <c:majorGridlines>
          <c:spPr>
            <a:ln>
              <a:noFill/>
            </a:ln>
          </c:spPr>
        </c:majorGridlines>
        <c:numFmt formatCode="General" sourceLinked="1"/>
        <c:majorTickMark val="out"/>
        <c:minorTickMark val="none"/>
        <c:tickLblPos val="nextTo"/>
        <c:crossAx val="371886752"/>
        <c:crosses val="autoZero"/>
        <c:crossBetween val="between"/>
      </c:valAx>
    </c:plotArea>
    <c:plotVisOnly val="1"/>
    <c:dispBlanksAs val="gap"/>
    <c:showDLblsOverMax val="0"/>
  </c:chart>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53151911711664601"/>
          <c:y val="5.0925925925925902E-2"/>
          <c:w val="0.43589806788362401"/>
          <c:h val="0.80994604841061502"/>
        </c:manualLayout>
      </c:layout>
      <c:barChart>
        <c:barDir val="bar"/>
        <c:grouping val="clustered"/>
        <c:varyColors val="0"/>
        <c:ser>
          <c:idx val="0"/>
          <c:order val="0"/>
          <c:invertIfNegative val="0"/>
          <c:cat>
            <c:strRef>
              <c:f>'[Social Stability Mainstreaming Survey Results for Analysis docx.xls]Shelter anaylsis'!$B$8:$G$8</c:f>
              <c:strCache>
                <c:ptCount val="6"/>
                <c:pt idx="0">
                  <c:v>Conflict analysis</c:v>
                </c:pt>
                <c:pt idx="1">
                  <c:v>Conflict sensitive programming</c:v>
                </c:pt>
                <c:pt idx="2">
                  <c:v>Conflict sensitivity in the program cycle</c:v>
                </c:pt>
                <c:pt idx="3">
                  <c:v>Conflict mediation and resolution</c:v>
                </c:pt>
                <c:pt idx="4">
                  <c:v>Do-no-harm approach</c:v>
                </c:pt>
                <c:pt idx="5">
                  <c:v>Humanitarian access and acceptance</c:v>
                </c:pt>
              </c:strCache>
            </c:strRef>
          </c:cat>
          <c:val>
            <c:numRef>
              <c:f>'[Social Stability Mainstreaming Survey Results for Analysis docx.xls]Shelter anaylsis'!$B$9:$G$9</c:f>
              <c:numCache>
                <c:formatCode>General</c:formatCode>
                <c:ptCount val="6"/>
                <c:pt idx="0">
                  <c:v>3.6</c:v>
                </c:pt>
                <c:pt idx="1">
                  <c:v>4.0999999999999996</c:v>
                </c:pt>
                <c:pt idx="2">
                  <c:v>3.8</c:v>
                </c:pt>
                <c:pt idx="3">
                  <c:v>3.9</c:v>
                </c:pt>
                <c:pt idx="4">
                  <c:v>3.2</c:v>
                </c:pt>
                <c:pt idx="5">
                  <c:v>3.2</c:v>
                </c:pt>
              </c:numCache>
            </c:numRef>
          </c:val>
        </c:ser>
        <c:dLbls>
          <c:showLegendKey val="0"/>
          <c:showVal val="0"/>
          <c:showCatName val="0"/>
          <c:showSerName val="0"/>
          <c:showPercent val="0"/>
          <c:showBubbleSize val="0"/>
        </c:dLbls>
        <c:gapWidth val="150"/>
        <c:axId val="371897632"/>
        <c:axId val="371883488"/>
      </c:barChart>
      <c:catAx>
        <c:axId val="371897632"/>
        <c:scaling>
          <c:orientation val="minMax"/>
        </c:scaling>
        <c:delete val="0"/>
        <c:axPos val="l"/>
        <c:numFmt formatCode="General" sourceLinked="1"/>
        <c:majorTickMark val="out"/>
        <c:minorTickMark val="none"/>
        <c:tickLblPos val="nextTo"/>
        <c:crossAx val="371883488"/>
        <c:crosses val="autoZero"/>
        <c:auto val="1"/>
        <c:lblAlgn val="ctr"/>
        <c:lblOffset val="100"/>
        <c:noMultiLvlLbl val="0"/>
      </c:catAx>
      <c:valAx>
        <c:axId val="371883488"/>
        <c:scaling>
          <c:orientation val="minMax"/>
          <c:max val="5"/>
          <c:min val="0"/>
        </c:scaling>
        <c:delete val="0"/>
        <c:axPos val="b"/>
        <c:majorGridlines>
          <c:spPr>
            <a:ln>
              <a:noFill/>
            </a:ln>
          </c:spPr>
        </c:majorGridlines>
        <c:numFmt formatCode="General" sourceLinked="1"/>
        <c:majorTickMark val="out"/>
        <c:minorTickMark val="none"/>
        <c:tickLblPos val="nextTo"/>
        <c:crossAx val="371897632"/>
        <c:crosses val="autoZero"/>
        <c:crossBetween val="between"/>
        <c:majorUnit val="1"/>
      </c:valAx>
    </c:plotArea>
    <c:plotVisOnly val="1"/>
    <c:dispBlanksAs val="gap"/>
    <c:showDLblsOverMax val="0"/>
  </c:chart>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53151911711664601"/>
          <c:y val="5.0925925925925902E-2"/>
          <c:w val="0.43589806788362401"/>
          <c:h val="0.80994604841061502"/>
        </c:manualLayout>
      </c:layout>
      <c:barChart>
        <c:barDir val="bar"/>
        <c:grouping val="clustered"/>
        <c:varyColors val="0"/>
        <c:ser>
          <c:idx val="0"/>
          <c:order val="0"/>
          <c:invertIfNegative val="0"/>
          <c:cat>
            <c:strRef>
              <c:f>'[Social Stability Mainstreaming Survey Results for Analysis docx.xls]Shelter anaylsis'!$B$8:$G$8</c:f>
              <c:strCache>
                <c:ptCount val="6"/>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strCache>
            </c:strRef>
          </c:cat>
          <c:val>
            <c:numRef>
              <c:f>'[Social Stability Mainstreaming Survey Results for Analysis docx.xls]Shelter anaylsis'!$B$9:$G$9</c:f>
              <c:numCache>
                <c:formatCode>General</c:formatCode>
                <c:ptCount val="6"/>
                <c:pt idx="0">
                  <c:v>3.6</c:v>
                </c:pt>
                <c:pt idx="1">
                  <c:v>3.9</c:v>
                </c:pt>
                <c:pt idx="2">
                  <c:v>3.6</c:v>
                </c:pt>
                <c:pt idx="3">
                  <c:v>3.5</c:v>
                </c:pt>
                <c:pt idx="4">
                  <c:v>3.3</c:v>
                </c:pt>
                <c:pt idx="5">
                  <c:v>3.5</c:v>
                </c:pt>
              </c:numCache>
            </c:numRef>
          </c:val>
        </c:ser>
        <c:dLbls>
          <c:showLegendKey val="0"/>
          <c:showVal val="0"/>
          <c:showCatName val="0"/>
          <c:showSerName val="0"/>
          <c:showPercent val="0"/>
          <c:showBubbleSize val="0"/>
        </c:dLbls>
        <c:gapWidth val="150"/>
        <c:axId val="371898176"/>
        <c:axId val="371887840"/>
      </c:barChart>
      <c:catAx>
        <c:axId val="371898176"/>
        <c:scaling>
          <c:orientation val="minMax"/>
        </c:scaling>
        <c:delete val="0"/>
        <c:axPos val="l"/>
        <c:numFmt formatCode="General" sourceLinked="1"/>
        <c:majorTickMark val="out"/>
        <c:minorTickMark val="none"/>
        <c:tickLblPos val="nextTo"/>
        <c:crossAx val="371887840"/>
        <c:crosses val="autoZero"/>
        <c:auto val="1"/>
        <c:lblAlgn val="ctr"/>
        <c:lblOffset val="100"/>
        <c:noMultiLvlLbl val="0"/>
      </c:catAx>
      <c:valAx>
        <c:axId val="371887840"/>
        <c:scaling>
          <c:orientation val="minMax"/>
          <c:max val="5"/>
          <c:min val="0"/>
        </c:scaling>
        <c:delete val="0"/>
        <c:axPos val="b"/>
        <c:majorGridlines>
          <c:spPr>
            <a:ln>
              <a:noFill/>
            </a:ln>
          </c:spPr>
        </c:majorGridlines>
        <c:numFmt formatCode="General" sourceLinked="1"/>
        <c:majorTickMark val="out"/>
        <c:minorTickMark val="none"/>
        <c:tickLblPos val="nextTo"/>
        <c:crossAx val="371898176"/>
        <c:crosses val="autoZero"/>
        <c:crossBetween val="between"/>
        <c:majorUnit val="1"/>
      </c:valAx>
    </c:plotArea>
    <c:plotVisOnly val="1"/>
    <c:dispBlanksAs val="gap"/>
    <c:showDLblsOverMax val="0"/>
  </c:chart>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Knowledge</a:t>
            </a:r>
            <a:r>
              <a:rPr lang="en-GB" baseline="0"/>
              <a:t> of conflict/ social stability analysis</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cat>
            <c:strRef>
              <c:f>Sheet2!$A$83:$F$83</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Sheet2!$A$84:$F$84</c:f>
              <c:numCache>
                <c:formatCode>0.00</c:formatCode>
                <c:ptCount val="6"/>
                <c:pt idx="0">
                  <c:v>3.5882352941176472</c:v>
                </c:pt>
                <c:pt idx="1">
                  <c:v>3.882352941176471</c:v>
                </c:pt>
                <c:pt idx="2">
                  <c:v>3.5294117647058818</c:v>
                </c:pt>
                <c:pt idx="3">
                  <c:v>3.4705882352941182</c:v>
                </c:pt>
                <c:pt idx="4">
                  <c:v>3.8235294117647061</c:v>
                </c:pt>
                <c:pt idx="5">
                  <c:v>3.4705882352941182</c:v>
                </c:pt>
              </c:numCache>
            </c:numRef>
          </c:val>
        </c:ser>
        <c:dLbls>
          <c:showLegendKey val="0"/>
          <c:showVal val="0"/>
          <c:showCatName val="0"/>
          <c:showSerName val="0"/>
          <c:showPercent val="0"/>
          <c:showBubbleSize val="0"/>
        </c:dLbls>
        <c:gapWidth val="182"/>
        <c:axId val="371882944"/>
        <c:axId val="371884032"/>
      </c:barChart>
      <c:catAx>
        <c:axId val="3718829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884032"/>
        <c:crosses val="autoZero"/>
        <c:auto val="1"/>
        <c:lblAlgn val="ctr"/>
        <c:lblOffset val="100"/>
        <c:noMultiLvlLbl val="0"/>
      </c:catAx>
      <c:valAx>
        <c:axId val="37188403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882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consider that your programmes contribute to social stability</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Lbl>
              <c:idx val="0"/>
              <c:showLegendKey val="0"/>
              <c:showVal val="1"/>
              <c:showCatName val="1"/>
              <c:showSerName val="0"/>
              <c:showPercent val="0"/>
              <c:showBubbleSize val="0"/>
              <c:separator>
</c:separator>
              <c:extLst>
                <c:ext xmlns:c15="http://schemas.microsoft.com/office/drawing/2012/chart" uri="{CE6537A1-D6FC-4f65-9D91-7224C49458BB}"/>
              </c:extLst>
            </c:dLbl>
            <c:dLbl>
              <c:idx val="1"/>
              <c:showLegendKey val="0"/>
              <c:showVal val="1"/>
              <c:showCatName val="1"/>
              <c:showSerName val="0"/>
              <c:showPercent val="0"/>
              <c:showBubbleSize val="0"/>
              <c:separator>
</c:separator>
              <c:extLst>
                <c:ext xmlns:c15="http://schemas.microsoft.com/office/drawing/2012/chart" uri="{CE6537A1-D6FC-4f65-9D91-7224C49458BB}"/>
              </c:extLst>
            </c:dLbl>
            <c:dLbl>
              <c:idx val="2"/>
              <c:showLegendKey val="0"/>
              <c:showVal val="1"/>
              <c:showCatName val="1"/>
              <c:showSerName val="0"/>
              <c:showPercent val="0"/>
              <c:showBubbleSize val="0"/>
              <c:separator>
</c:separator>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Sheet2!$A$88:$A$90</c:f>
              <c:strCache>
                <c:ptCount val="3"/>
                <c:pt idx="0">
                  <c:v>Yes</c:v>
                </c:pt>
                <c:pt idx="1">
                  <c:v>No</c:v>
                </c:pt>
                <c:pt idx="2">
                  <c:v>No answer</c:v>
                </c:pt>
              </c:strCache>
            </c:strRef>
          </c:cat>
          <c:val>
            <c:numRef>
              <c:f>Sheet2!$B$88:$B$90</c:f>
              <c:numCache>
                <c:formatCode>General</c:formatCode>
                <c:ptCount val="3"/>
                <c:pt idx="0">
                  <c:v>12</c:v>
                </c:pt>
                <c:pt idx="1">
                  <c:v>2</c:v>
                </c:pt>
                <c:pt idx="2">
                  <c:v>4</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Work with public institutions</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cat>
            <c:strRef>
              <c:f>Sheet2!$A$125:$H$125</c:f>
              <c:strCache>
                <c:ptCount val="8"/>
                <c:pt idx="0">
                  <c:v>Ministry of Social Affairs &amp; Social Development Centers</c:v>
                </c:pt>
                <c:pt idx="1">
                  <c:v>Ministry of Interior and Municipalities</c:v>
                </c:pt>
                <c:pt idx="2">
                  <c:v>Ministry of Education and Higher Education</c:v>
                </c:pt>
                <c:pt idx="3">
                  <c:v>Ministry of Public Health</c:v>
                </c:pt>
                <c:pt idx="4">
                  <c:v>Municipalities</c:v>
                </c:pt>
                <c:pt idx="5">
                  <c:v>Union of Municipalities</c:v>
                </c:pt>
                <c:pt idx="6">
                  <c:v>Primary/Secondary Health Care Centers</c:v>
                </c:pt>
                <c:pt idx="7">
                  <c:v>Security forces</c:v>
                </c:pt>
              </c:strCache>
            </c:strRef>
          </c:cat>
          <c:val>
            <c:numRef>
              <c:f>Sheet2!$A$126:$H$126</c:f>
              <c:numCache>
                <c:formatCode>0.00</c:formatCode>
                <c:ptCount val="8"/>
                <c:pt idx="0">
                  <c:v>3.7692307692307701</c:v>
                </c:pt>
                <c:pt idx="1">
                  <c:v>2.8461538461538458</c:v>
                </c:pt>
                <c:pt idx="2">
                  <c:v>3</c:v>
                </c:pt>
                <c:pt idx="3">
                  <c:v>3.7692307692307701</c:v>
                </c:pt>
                <c:pt idx="4">
                  <c:v>3.4615384615384621</c:v>
                </c:pt>
                <c:pt idx="5">
                  <c:v>2.2307692307692308</c:v>
                </c:pt>
                <c:pt idx="6">
                  <c:v>4</c:v>
                </c:pt>
                <c:pt idx="7">
                  <c:v>2</c:v>
                </c:pt>
              </c:numCache>
            </c:numRef>
          </c:val>
        </c:ser>
        <c:dLbls>
          <c:showLegendKey val="0"/>
          <c:showVal val="0"/>
          <c:showCatName val="0"/>
          <c:showSerName val="0"/>
          <c:showPercent val="0"/>
          <c:showBubbleSize val="0"/>
        </c:dLbls>
        <c:gapWidth val="182"/>
        <c:axId val="371901440"/>
        <c:axId val="371885120"/>
      </c:barChart>
      <c:catAx>
        <c:axId val="3719014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885120"/>
        <c:crosses val="autoZero"/>
        <c:auto val="1"/>
        <c:lblAlgn val="ctr"/>
        <c:lblOffset val="100"/>
        <c:noMultiLvlLbl val="0"/>
      </c:catAx>
      <c:valAx>
        <c:axId val="37188512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01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lIns="2" anchor="ctr" anchorCtr="1">
            <a:spAutoFit/>
          </a:bodyPr>
          <a:lstStyle/>
          <a:p>
            <a:pPr>
              <a:defRPr sz="1400" b="0" i="0" u="none" strike="noStrike" kern="1200" spc="0" baseline="0">
                <a:solidFill>
                  <a:schemeClr val="tx1">
                    <a:lumMod val="65000"/>
                    <a:lumOff val="35000"/>
                  </a:schemeClr>
                </a:solidFill>
                <a:latin typeface="+mn-lt"/>
                <a:ea typeface="+mn-ea"/>
                <a:cs typeface="+mn-cs"/>
              </a:defRPr>
            </a:pPr>
            <a:r>
              <a:rPr lang="en-GB"/>
              <a:t>Does your organization have any internal mechanism in house to make sure your programs are conflict sensitive?</a:t>
            </a:r>
          </a:p>
        </c:rich>
      </c:tx>
      <c:layout>
        <c:manualLayout>
          <c:xMode val="edge"/>
          <c:yMode val="edge"/>
          <c:x val="0.15881701061877099"/>
          <c:y val="6.25E-2"/>
        </c:manualLayout>
      </c:layout>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Sheet2!$A$147:$A$149</c:f>
              <c:strCache>
                <c:ptCount val="3"/>
                <c:pt idx="0">
                  <c:v>Yes</c:v>
                </c:pt>
                <c:pt idx="1">
                  <c:v>No</c:v>
                </c:pt>
                <c:pt idx="2">
                  <c:v>No answer</c:v>
                </c:pt>
              </c:strCache>
            </c:strRef>
          </c:cat>
          <c:val>
            <c:numRef>
              <c:f>Sheet2!$B$147:$B$149</c:f>
              <c:numCache>
                <c:formatCode>General</c:formatCode>
                <c:ptCount val="3"/>
                <c:pt idx="0">
                  <c:v>5</c:v>
                </c:pt>
                <c:pt idx="1">
                  <c:v>5</c:v>
                </c:pt>
                <c:pt idx="2">
                  <c:v>8</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Training needs</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cat>
            <c:strRef>
              <c:f>Sheet2!$A$189:$F$189</c:f>
              <c:strCache>
                <c:ptCount val="6"/>
                <c:pt idx="0">
                  <c:v>Conflict analysis</c:v>
                </c:pt>
                <c:pt idx="1">
                  <c:v>Conflict sensitive programming</c:v>
                </c:pt>
                <c:pt idx="2">
                  <c:v>Conflict sensitivity in the program cycle</c:v>
                </c:pt>
                <c:pt idx="3">
                  <c:v>Conflict mediation and resolution</c:v>
                </c:pt>
                <c:pt idx="4">
                  <c:v>Do-no-harm approach</c:v>
                </c:pt>
                <c:pt idx="5">
                  <c:v>Humanitarian access and acceptance</c:v>
                </c:pt>
              </c:strCache>
            </c:strRef>
          </c:cat>
          <c:val>
            <c:numRef>
              <c:f>Sheet2!$A$190:$F$190</c:f>
              <c:numCache>
                <c:formatCode>General</c:formatCode>
                <c:ptCount val="6"/>
                <c:pt idx="0">
                  <c:v>3.8</c:v>
                </c:pt>
                <c:pt idx="1">
                  <c:v>3.7</c:v>
                </c:pt>
                <c:pt idx="2">
                  <c:v>3.3</c:v>
                </c:pt>
                <c:pt idx="3">
                  <c:v>3.3</c:v>
                </c:pt>
                <c:pt idx="4">
                  <c:v>3.1</c:v>
                </c:pt>
                <c:pt idx="5">
                  <c:v>2.8</c:v>
                </c:pt>
              </c:numCache>
            </c:numRef>
          </c:val>
        </c:ser>
        <c:dLbls>
          <c:showLegendKey val="0"/>
          <c:showVal val="0"/>
          <c:showCatName val="0"/>
          <c:showSerName val="0"/>
          <c:showPercent val="0"/>
          <c:showBubbleSize val="0"/>
        </c:dLbls>
        <c:gapWidth val="182"/>
        <c:axId val="371902528"/>
        <c:axId val="371906880"/>
      </c:barChart>
      <c:catAx>
        <c:axId val="3719025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06880"/>
        <c:crosses val="autoZero"/>
        <c:auto val="1"/>
        <c:lblAlgn val="ctr"/>
        <c:lblOffset val="100"/>
        <c:noMultiLvlLbl val="0"/>
      </c:catAx>
      <c:valAx>
        <c:axId val="3719068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02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Other types of support needed</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cat>
            <c:strRef>
              <c:f>Sheet2!$A$216:$G$216</c:f>
              <c:strCache>
                <c:ptCount val="7"/>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Sheet2!$A$217:$G$217</c:f>
              <c:numCache>
                <c:formatCode>General</c:formatCode>
                <c:ptCount val="7"/>
                <c:pt idx="0">
                  <c:v>2.8</c:v>
                </c:pt>
                <c:pt idx="1">
                  <c:v>3.5</c:v>
                </c:pt>
                <c:pt idx="2">
                  <c:v>3.2</c:v>
                </c:pt>
                <c:pt idx="3">
                  <c:v>2.8</c:v>
                </c:pt>
                <c:pt idx="4">
                  <c:v>2.8</c:v>
                </c:pt>
                <c:pt idx="5">
                  <c:v>2.9</c:v>
                </c:pt>
                <c:pt idx="6">
                  <c:v>2.9</c:v>
                </c:pt>
              </c:numCache>
            </c:numRef>
          </c:val>
        </c:ser>
        <c:dLbls>
          <c:showLegendKey val="0"/>
          <c:showVal val="0"/>
          <c:showCatName val="0"/>
          <c:showSerName val="0"/>
          <c:showPercent val="0"/>
          <c:showBubbleSize val="0"/>
        </c:dLbls>
        <c:gapWidth val="182"/>
        <c:axId val="371904160"/>
        <c:axId val="371905248"/>
      </c:barChart>
      <c:catAx>
        <c:axId val="3719041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05248"/>
        <c:crosses val="autoZero"/>
        <c:auto val="1"/>
        <c:lblAlgn val="ctr"/>
        <c:lblOffset val="100"/>
        <c:noMultiLvlLbl val="0"/>
      </c:catAx>
      <c:valAx>
        <c:axId val="3719052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04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49141326607917002"/>
          <c:y val="5.0925925925925902E-2"/>
          <c:w val="0.47051716300825502"/>
          <c:h val="0.83309419655876404"/>
        </c:manualLayout>
      </c:layout>
      <c:barChart>
        <c:barDir val="bar"/>
        <c:grouping val="clustered"/>
        <c:varyColors val="0"/>
        <c:ser>
          <c:idx val="0"/>
          <c:order val="0"/>
          <c:invertIfNegative val="0"/>
          <c:cat>
            <c:strRef>
              <c:f>Sheet3!$A$2:$F$2</c:f>
              <c:strCache>
                <c:ptCount val="6"/>
                <c:pt idx="0">
                  <c:v>Structural causes of conflicts in Lebanon</c:v>
                </c:pt>
                <c:pt idx="1">
                  <c:v>Causes of tensions between refugees and host communities</c:v>
                </c:pt>
                <c:pt idx="2">
                  <c:v>Areas where social tensions are particularly high</c:v>
                </c:pt>
                <c:pt idx="3">
                  <c:v>Conflict triggers and potential causes for violence</c:v>
                </c:pt>
                <c:pt idx="4">
                  <c:v>Negative/positive impact of international assistance on causes of tensions</c:v>
                </c:pt>
                <c:pt idx="5">
                  <c:v>General perceptions of international assistance by communities and beneficiaries</c:v>
                </c:pt>
              </c:strCache>
            </c:strRef>
          </c:cat>
          <c:val>
            <c:numRef>
              <c:f>Sheet3!$A$3:$F$3</c:f>
              <c:numCache>
                <c:formatCode>General</c:formatCode>
                <c:ptCount val="6"/>
                <c:pt idx="0">
                  <c:v>3.9</c:v>
                </c:pt>
                <c:pt idx="1">
                  <c:v>4.3</c:v>
                </c:pt>
                <c:pt idx="2">
                  <c:v>4</c:v>
                </c:pt>
                <c:pt idx="3">
                  <c:v>3.8</c:v>
                </c:pt>
                <c:pt idx="4">
                  <c:v>3.8</c:v>
                </c:pt>
                <c:pt idx="5">
                  <c:v>3.6</c:v>
                </c:pt>
              </c:numCache>
            </c:numRef>
          </c:val>
        </c:ser>
        <c:dLbls>
          <c:showLegendKey val="0"/>
          <c:showVal val="0"/>
          <c:showCatName val="0"/>
          <c:showSerName val="0"/>
          <c:showPercent val="0"/>
          <c:showBubbleSize val="0"/>
        </c:dLbls>
        <c:gapWidth val="150"/>
        <c:axId val="371907968"/>
        <c:axId val="371909056"/>
      </c:barChart>
      <c:catAx>
        <c:axId val="371907968"/>
        <c:scaling>
          <c:orientation val="minMax"/>
        </c:scaling>
        <c:delete val="0"/>
        <c:axPos val="l"/>
        <c:numFmt formatCode="General" sourceLinked="0"/>
        <c:majorTickMark val="out"/>
        <c:minorTickMark val="none"/>
        <c:tickLblPos val="nextTo"/>
        <c:crossAx val="371909056"/>
        <c:crosses val="autoZero"/>
        <c:auto val="1"/>
        <c:lblAlgn val="ctr"/>
        <c:lblOffset val="100"/>
        <c:noMultiLvlLbl val="0"/>
      </c:catAx>
      <c:valAx>
        <c:axId val="371909056"/>
        <c:scaling>
          <c:orientation val="minMax"/>
        </c:scaling>
        <c:delete val="0"/>
        <c:axPos val="b"/>
        <c:majorGridlines/>
        <c:numFmt formatCode="General" sourceLinked="1"/>
        <c:majorTickMark val="out"/>
        <c:minorTickMark val="none"/>
        <c:tickLblPos val="nextTo"/>
        <c:crossAx val="371907968"/>
        <c:crosses val="autoZero"/>
        <c:crossBetween val="between"/>
      </c:valAx>
    </c:plotArea>
    <c:plotVisOnly val="1"/>
    <c:dispBlanksAs val="gap"/>
    <c:showDLblsOverMax val="0"/>
  </c:chart>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invertIfNegative val="0"/>
          <c:cat>
            <c:strRef>
              <c:f>Sheet4!$A$1:$F$1</c:f>
              <c:strCache>
                <c:ptCount val="6"/>
                <c:pt idx="0">
                  <c:v>Conflict analysis</c:v>
                </c:pt>
                <c:pt idx="1">
                  <c:v>Conflict sensitive programming</c:v>
                </c:pt>
                <c:pt idx="2">
                  <c:v>Conflict sensitivity in the program cycle</c:v>
                </c:pt>
                <c:pt idx="3">
                  <c:v>Conflict mediation and resolution</c:v>
                </c:pt>
                <c:pt idx="4">
                  <c:v>Do-no-harm approach</c:v>
                </c:pt>
                <c:pt idx="5">
                  <c:v>Humanitarian access and acceptance</c:v>
                </c:pt>
              </c:strCache>
            </c:strRef>
          </c:cat>
          <c:val>
            <c:numRef>
              <c:f>Sheet4!$A$2:$F$2</c:f>
              <c:numCache>
                <c:formatCode>General</c:formatCode>
                <c:ptCount val="6"/>
                <c:pt idx="0">
                  <c:v>4.5</c:v>
                </c:pt>
                <c:pt idx="1">
                  <c:v>4.5999999999999996</c:v>
                </c:pt>
                <c:pt idx="2">
                  <c:v>4.3</c:v>
                </c:pt>
                <c:pt idx="3">
                  <c:v>4.2</c:v>
                </c:pt>
                <c:pt idx="4">
                  <c:v>3.9</c:v>
                </c:pt>
                <c:pt idx="5">
                  <c:v>3.9</c:v>
                </c:pt>
              </c:numCache>
            </c:numRef>
          </c:val>
        </c:ser>
        <c:dLbls>
          <c:showLegendKey val="0"/>
          <c:showVal val="0"/>
          <c:showCatName val="0"/>
          <c:showSerName val="0"/>
          <c:showPercent val="0"/>
          <c:showBubbleSize val="0"/>
        </c:dLbls>
        <c:gapWidth val="150"/>
        <c:overlap val="100"/>
        <c:axId val="371910688"/>
        <c:axId val="371911232"/>
      </c:barChart>
      <c:catAx>
        <c:axId val="371910688"/>
        <c:scaling>
          <c:orientation val="minMax"/>
        </c:scaling>
        <c:delete val="0"/>
        <c:axPos val="b"/>
        <c:numFmt formatCode="General" sourceLinked="0"/>
        <c:majorTickMark val="out"/>
        <c:minorTickMark val="none"/>
        <c:tickLblPos val="nextTo"/>
        <c:crossAx val="371911232"/>
        <c:crosses val="autoZero"/>
        <c:auto val="1"/>
        <c:lblAlgn val="ctr"/>
        <c:lblOffset val="100"/>
        <c:noMultiLvlLbl val="0"/>
      </c:catAx>
      <c:valAx>
        <c:axId val="371911232"/>
        <c:scaling>
          <c:orientation val="minMax"/>
        </c:scaling>
        <c:delete val="0"/>
        <c:axPos val="l"/>
        <c:majorGridlines/>
        <c:numFmt formatCode="General" sourceLinked="1"/>
        <c:majorTickMark val="out"/>
        <c:minorTickMark val="none"/>
        <c:tickLblPos val="nextTo"/>
        <c:crossAx val="371910688"/>
        <c:crosses val="autoZero"/>
        <c:crossBetween val="between"/>
      </c:valAx>
    </c:plotArea>
    <c:plotVisOnly val="1"/>
    <c:dispBlanksAs val="gap"/>
    <c:showDLblsOverMax val="0"/>
  </c:chart>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invertIfNegative val="0"/>
          <c:cat>
            <c:strRef>
              <c:f>Sheet5!$A$1:$G$1</c:f>
              <c:strCache>
                <c:ptCount val="7"/>
                <c:pt idx="0">
                  <c:v>Guidelines on social stability mainstreaming</c:v>
                </c:pt>
                <c:pt idx="1">
                  <c:v>Best practices/lessons learnt/ do&amp;don’ts on social stability</c:v>
                </c:pt>
                <c:pt idx="2">
                  <c:v>Guidelines on conducting participatory processes at the local level</c:v>
                </c:pt>
                <c:pt idx="3">
                  <c:v>Guidelines on working with municipalities in Lebanon</c:v>
                </c:pt>
                <c:pt idx="4">
                  <c:v>Sector specific recommendations/workplans on how to improve their impact on social stability.</c:v>
                </c:pt>
                <c:pt idx="5">
                  <c:v>Joined sector working groups between social stability and other sectors</c:v>
                </c:pt>
                <c:pt idx="6">
                  <c:v>Regular presentation on social stability issues in inter-agency meetings, field interagency, and other working groups</c:v>
                </c:pt>
              </c:strCache>
            </c:strRef>
          </c:cat>
          <c:val>
            <c:numRef>
              <c:f>Sheet5!$A$2:$G$2</c:f>
              <c:numCache>
                <c:formatCode>General</c:formatCode>
                <c:ptCount val="7"/>
                <c:pt idx="0">
                  <c:v>3.7</c:v>
                </c:pt>
                <c:pt idx="1">
                  <c:v>4.2</c:v>
                </c:pt>
                <c:pt idx="2">
                  <c:v>4</c:v>
                </c:pt>
                <c:pt idx="3">
                  <c:v>3.6</c:v>
                </c:pt>
                <c:pt idx="4">
                  <c:v>3.6</c:v>
                </c:pt>
                <c:pt idx="5">
                  <c:v>3.8</c:v>
                </c:pt>
                <c:pt idx="6">
                  <c:v>3.9</c:v>
                </c:pt>
              </c:numCache>
            </c:numRef>
          </c:val>
        </c:ser>
        <c:dLbls>
          <c:showLegendKey val="0"/>
          <c:showVal val="0"/>
          <c:showCatName val="0"/>
          <c:showSerName val="0"/>
          <c:showPercent val="0"/>
          <c:showBubbleSize val="0"/>
        </c:dLbls>
        <c:gapWidth val="150"/>
        <c:shape val="box"/>
        <c:axId val="462187536"/>
        <c:axId val="462193520"/>
        <c:axId val="0"/>
      </c:bar3DChart>
      <c:catAx>
        <c:axId val="462187536"/>
        <c:scaling>
          <c:orientation val="minMax"/>
        </c:scaling>
        <c:delete val="0"/>
        <c:axPos val="b"/>
        <c:numFmt formatCode="General" sourceLinked="0"/>
        <c:majorTickMark val="out"/>
        <c:minorTickMark val="none"/>
        <c:tickLblPos val="nextTo"/>
        <c:crossAx val="462193520"/>
        <c:crosses val="autoZero"/>
        <c:auto val="1"/>
        <c:lblAlgn val="ctr"/>
        <c:lblOffset val="100"/>
        <c:noMultiLvlLbl val="0"/>
      </c:catAx>
      <c:valAx>
        <c:axId val="462193520"/>
        <c:scaling>
          <c:orientation val="minMax"/>
        </c:scaling>
        <c:delete val="0"/>
        <c:axPos val="l"/>
        <c:majorGridlines/>
        <c:numFmt formatCode="General" sourceLinked="1"/>
        <c:majorTickMark val="out"/>
        <c:minorTickMark val="none"/>
        <c:tickLblPos val="nextTo"/>
        <c:crossAx val="462187536"/>
        <c:crosses val="autoZero"/>
        <c:crossBetween val="between"/>
      </c:valAx>
    </c:plotArea>
    <c:plotVisOnly val="1"/>
    <c:dispBlanksAs val="gap"/>
    <c:showDLblsOverMax val="0"/>
  </c:chart>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050"/>
              <a:t>Average knowledge (values 1-5)</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Average knowledge (values 1-5)</c:v>
                </c:pt>
              </c:strCache>
            </c:strRef>
          </c:tx>
          <c:spPr>
            <a:solidFill>
              <a:schemeClr val="accent1"/>
            </a:solidFill>
            <a:ln>
              <a:noFill/>
            </a:ln>
            <a:effectLst/>
          </c:spPr>
          <c:invertIfNegative val="0"/>
          <c:cat>
            <c:strRef>
              <c:f>Sheet1!$A$2:$A$7</c:f>
              <c:strCache>
                <c:ptCount val="6"/>
                <c:pt idx="0">
                  <c:v>General perceptions of international assistance by communities and beneficiaries</c:v>
                </c:pt>
                <c:pt idx="1">
                  <c:v>Negative/positive impact of international assistance on causes of tensions</c:v>
                </c:pt>
                <c:pt idx="2">
                  <c:v>Conflict triggers and potential causes for violence</c:v>
                </c:pt>
                <c:pt idx="3">
                  <c:v>Areas where social tensions are particularly high</c:v>
                </c:pt>
                <c:pt idx="4">
                  <c:v>Causes of tensions between refugees and host communities</c:v>
                </c:pt>
                <c:pt idx="5">
                  <c:v>Structural causes of conflicts in Lebanon</c:v>
                </c:pt>
              </c:strCache>
            </c:strRef>
          </c:cat>
          <c:val>
            <c:numRef>
              <c:f>Sheet1!$B$2:$B$7</c:f>
              <c:numCache>
                <c:formatCode>General</c:formatCode>
                <c:ptCount val="6"/>
                <c:pt idx="0">
                  <c:v>3.53</c:v>
                </c:pt>
                <c:pt idx="1">
                  <c:v>3.89</c:v>
                </c:pt>
                <c:pt idx="2">
                  <c:v>3.73</c:v>
                </c:pt>
                <c:pt idx="3">
                  <c:v>4.07</c:v>
                </c:pt>
                <c:pt idx="4">
                  <c:v>4.47</c:v>
                </c:pt>
                <c:pt idx="5">
                  <c:v>3.8</c:v>
                </c:pt>
              </c:numCache>
            </c:numRef>
          </c:val>
        </c:ser>
        <c:dLbls>
          <c:showLegendKey val="0"/>
          <c:showVal val="0"/>
          <c:showCatName val="0"/>
          <c:showSerName val="0"/>
          <c:showPercent val="0"/>
          <c:showBubbleSize val="0"/>
        </c:dLbls>
        <c:gapWidth val="182"/>
        <c:axId val="462178832"/>
        <c:axId val="462191344"/>
      </c:barChart>
      <c:catAx>
        <c:axId val="4621788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62191344"/>
        <c:crosses val="autoZero"/>
        <c:auto val="0"/>
        <c:lblAlgn val="ctr"/>
        <c:lblOffset val="100"/>
        <c:noMultiLvlLbl val="0"/>
      </c:catAx>
      <c:valAx>
        <c:axId val="462191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62178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solidFill>
      <a:round/>
    </a:ln>
    <a:effectLst/>
  </c:spPr>
  <c:txPr>
    <a:bodyPr/>
    <a:lstStyle/>
    <a:p>
      <a:pPr>
        <a:defRPr sz="1000"/>
      </a:pPr>
      <a:endParaRPr lang="en-US"/>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050"/>
              <a:t>Training needs: How useful would the following trainings be to increase your organizations’ contribution to social stability (1- not useful, 5 very useful - average)</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Sheet1!$A$2:$A$7</c:f>
              <c:strCache>
                <c:ptCount val="6"/>
                <c:pt idx="0">
                  <c:v>Humanitarian access and acceptance</c:v>
                </c:pt>
                <c:pt idx="1">
                  <c:v>Do-no-harm approach</c:v>
                </c:pt>
                <c:pt idx="2">
                  <c:v>Conflict mediation and resolution</c:v>
                </c:pt>
                <c:pt idx="3">
                  <c:v>Conflict sensitivity in the program cycle</c:v>
                </c:pt>
                <c:pt idx="4">
                  <c:v>Conflict sensitive programming</c:v>
                </c:pt>
                <c:pt idx="5">
                  <c:v>Conflict analysis</c:v>
                </c:pt>
              </c:strCache>
            </c:strRef>
          </c:cat>
          <c:val>
            <c:numRef>
              <c:f>Sheet1!$B$2:$B$7</c:f>
              <c:numCache>
                <c:formatCode>General</c:formatCode>
                <c:ptCount val="6"/>
                <c:pt idx="0">
                  <c:v>3.6</c:v>
                </c:pt>
                <c:pt idx="1">
                  <c:v>3.5</c:v>
                </c:pt>
                <c:pt idx="2">
                  <c:v>3.9</c:v>
                </c:pt>
                <c:pt idx="3">
                  <c:v>4.0999999999999996</c:v>
                </c:pt>
                <c:pt idx="4">
                  <c:v>4.4000000000000004</c:v>
                </c:pt>
                <c:pt idx="5">
                  <c:v>4.0999999999999996</c:v>
                </c:pt>
              </c:numCache>
            </c:numRef>
          </c:val>
        </c:ser>
        <c:dLbls>
          <c:showLegendKey val="0"/>
          <c:showVal val="0"/>
          <c:showCatName val="0"/>
          <c:showSerName val="0"/>
          <c:showPercent val="0"/>
          <c:showBubbleSize val="0"/>
        </c:dLbls>
        <c:gapWidth val="182"/>
        <c:axId val="462183184"/>
        <c:axId val="462232144"/>
      </c:barChart>
      <c:catAx>
        <c:axId val="4621831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62232144"/>
        <c:crosses val="autoZero"/>
        <c:auto val="1"/>
        <c:lblAlgn val="ctr"/>
        <c:lblOffset val="100"/>
        <c:noMultiLvlLbl val="0"/>
      </c:catAx>
      <c:valAx>
        <c:axId val="4622321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62183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solidFill>
      <a:round/>
    </a:ln>
    <a:effectLst/>
  </c:spPr>
  <c:txPr>
    <a:bodyPr/>
    <a:lstStyle/>
    <a:p>
      <a:pPr>
        <a:defRPr sz="1000"/>
      </a:pPr>
      <a:endParaRPr lang="en-US"/>
    </a:p>
  </c:tx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r>
              <a:rPr lang="en-US" sz="1050" b="1"/>
              <a:t>What other type of support from the social stability sector would be useful to increase your organization’s contribution to social stability? (1- not useful, 5- very useful</a:t>
            </a:r>
            <a:r>
              <a:rPr lang="en-US" sz="1050" b="1" baseline="0"/>
              <a:t> - average)</a:t>
            </a:r>
            <a:endParaRPr lang="en-US" sz="1050" b="1"/>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Sheet1!$A$2:$A$8</c:f>
              <c:strCache>
                <c:ptCount val="7"/>
                <c:pt idx="0">
                  <c:v>Regular presentation on social stability issues in inter-agency meetings, field interagency, and other working groups</c:v>
                </c:pt>
                <c:pt idx="1">
                  <c:v>Joined sector working groups between social stability and other sectors</c:v>
                </c:pt>
                <c:pt idx="2">
                  <c:v>Sector specific recommendations/workplans on how to improve their impact on social stability.</c:v>
                </c:pt>
                <c:pt idx="3">
                  <c:v>Guidelines on working with municipalities in Lebanon</c:v>
                </c:pt>
                <c:pt idx="4">
                  <c:v>Guidelines on conducting participatory processes at the local level</c:v>
                </c:pt>
                <c:pt idx="5">
                  <c:v>Best practices/lessons learnt/ do&amp;don’ts on social stability</c:v>
                </c:pt>
                <c:pt idx="6">
                  <c:v>Guidelines on social stability mainstreaming</c:v>
                </c:pt>
              </c:strCache>
            </c:strRef>
          </c:cat>
          <c:val>
            <c:numRef>
              <c:f>Sheet1!$B$2:$B$8</c:f>
              <c:numCache>
                <c:formatCode>General</c:formatCode>
                <c:ptCount val="7"/>
                <c:pt idx="0">
                  <c:v>3.5</c:v>
                </c:pt>
                <c:pt idx="1">
                  <c:v>3.7</c:v>
                </c:pt>
                <c:pt idx="2">
                  <c:v>3.7</c:v>
                </c:pt>
                <c:pt idx="3">
                  <c:v>3.5</c:v>
                </c:pt>
                <c:pt idx="4">
                  <c:v>3.6</c:v>
                </c:pt>
                <c:pt idx="5">
                  <c:v>4</c:v>
                </c:pt>
                <c:pt idx="6">
                  <c:v>3.5</c:v>
                </c:pt>
              </c:numCache>
            </c:numRef>
          </c:val>
        </c:ser>
        <c:dLbls>
          <c:showLegendKey val="0"/>
          <c:showVal val="0"/>
          <c:showCatName val="0"/>
          <c:showSerName val="0"/>
          <c:showPercent val="0"/>
          <c:showBubbleSize val="0"/>
        </c:dLbls>
        <c:gapWidth val="182"/>
        <c:axId val="462215824"/>
        <c:axId val="462216368"/>
      </c:barChart>
      <c:catAx>
        <c:axId val="462215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62216368"/>
        <c:crosses val="autoZero"/>
        <c:auto val="1"/>
        <c:lblAlgn val="ctr"/>
        <c:lblOffset val="100"/>
        <c:noMultiLvlLbl val="0"/>
      </c:catAx>
      <c:valAx>
        <c:axId val="462216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215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1908</TotalTime>
  <Pages>30</Pages>
  <Words>4515</Words>
  <Characters>25737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Search for Common Ground</Company>
  <LinksUpToDate>false</LinksUpToDate>
  <CharactersWithSpaces>30192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mortmans</dc:creator>
  <cp:lastModifiedBy>User</cp:lastModifiedBy>
  <cp:revision>9</cp:revision>
  <cp:lastPrinted>2015-06-04T11:27:00Z</cp:lastPrinted>
  <dcterms:created xsi:type="dcterms:W3CDTF">2015-06-01T12:15:00Z</dcterms:created>
  <dcterms:modified xsi:type="dcterms:W3CDTF">2015-06-05T15:34:00Z</dcterms:modified>
</cp:coreProperties>
</file>