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991"/>
        <w:tblW w:w="10278" w:type="dxa"/>
        <w:shd w:val="clear" w:color="auto" w:fill="0072BC"/>
        <w:tblLook w:val="04A0" w:firstRow="1" w:lastRow="0" w:firstColumn="1" w:lastColumn="0" w:noHBand="0" w:noVBand="1"/>
      </w:tblPr>
      <w:tblGrid>
        <w:gridCol w:w="10278"/>
      </w:tblGrid>
      <w:tr w:rsidR="00144636" w:rsidRPr="004A45DE" w:rsidTr="00144636">
        <w:trPr>
          <w:trHeight w:val="426"/>
        </w:trPr>
        <w:tc>
          <w:tcPr>
            <w:tcW w:w="10278" w:type="dxa"/>
            <w:shd w:val="clear" w:color="auto" w:fill="0072BC"/>
            <w:vAlign w:val="center"/>
          </w:tcPr>
          <w:p w:rsidR="00144636" w:rsidRPr="00B71B9D" w:rsidRDefault="00144636" w:rsidP="00144636">
            <w:pPr>
              <w:spacing w:line="276" w:lineRule="auto"/>
              <w:ind w:right="124"/>
              <w:rPr>
                <w:rFonts w:ascii="Arial" w:hAnsi="Arial"/>
                <w:b/>
                <w:color w:val="FFFFFF"/>
              </w:rPr>
            </w:pPr>
            <w:r w:rsidRPr="00144636">
              <w:rPr>
                <w:rFonts w:ascii="Arial" w:hAnsi="Arial"/>
                <w:b/>
                <w:color w:val="FFFFFF"/>
                <w:sz w:val="22"/>
                <w:szCs w:val="22"/>
              </w:rPr>
              <w:t>Bekaa coordination workshop 20/2/2018  –  Executive summary of conclusions</w:t>
            </w:r>
          </w:p>
        </w:tc>
      </w:tr>
    </w:tbl>
    <w:p w:rsidR="00690010" w:rsidRDefault="00690010" w:rsidP="00F04F3B">
      <w:pPr>
        <w:jc w:val="both"/>
        <w:rPr>
          <w:rFonts w:ascii="Calibri" w:hAnsi="Calibri"/>
          <w:b/>
          <w:color w:val="000000" w:themeColor="text1"/>
          <w:sz w:val="22"/>
          <w:szCs w:val="22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6"/>
      </w:tblGrid>
      <w:tr w:rsidR="005B37E3" w:rsidTr="006C7AF4">
        <w:tc>
          <w:tcPr>
            <w:tcW w:w="10056" w:type="dxa"/>
            <w:shd w:val="clear" w:color="auto" w:fill="C6D9F1" w:themeFill="text2" w:themeFillTint="33"/>
          </w:tcPr>
          <w:p w:rsidR="005B37E3" w:rsidRPr="00B71B9D" w:rsidRDefault="0007371E" w:rsidP="000A6316">
            <w:pPr>
              <w:jc w:val="both"/>
              <w:rPr>
                <w:rFonts w:ascii="Calibri" w:hAnsi="Calibri"/>
                <w:b/>
                <w:color w:val="000000" w:themeColor="text1"/>
              </w:rPr>
            </w:pPr>
            <w:r w:rsidRPr="00B71B9D">
              <w:rPr>
                <w:rFonts w:ascii="Calibri" w:hAnsi="Calibri"/>
                <w:b/>
                <w:color w:val="000000" w:themeColor="text1"/>
              </w:rPr>
              <w:t>Main themes identified to improve joint work in the Bekaa</w:t>
            </w:r>
          </w:p>
        </w:tc>
      </w:tr>
    </w:tbl>
    <w:p w:rsidR="005B37E3" w:rsidRDefault="005B37E3" w:rsidP="00F04F3B">
      <w:pPr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07371E" w:rsidRPr="006C7AF4" w:rsidRDefault="0007371E" w:rsidP="006C7AF4">
      <w:pPr>
        <w:pBdr>
          <w:bottom w:val="single" w:sz="4" w:space="1" w:color="auto"/>
        </w:pBdr>
        <w:jc w:val="both"/>
        <w:rPr>
          <w:rFonts w:ascii="Calibri" w:hAnsi="Calibri"/>
          <w:b/>
          <w:i/>
          <w:iCs/>
          <w:color w:val="000000" w:themeColor="text1"/>
          <w:sz w:val="28"/>
          <w:szCs w:val="28"/>
        </w:rPr>
      </w:pPr>
      <w:r w:rsidRPr="0007371E">
        <w:rPr>
          <w:rFonts w:ascii="Calibri" w:hAnsi="Calibri"/>
          <w:b/>
          <w:i/>
          <w:iCs/>
          <w:color w:val="000000" w:themeColor="text1"/>
          <w:sz w:val="28"/>
          <w:szCs w:val="28"/>
        </w:rPr>
        <w:t>Form</w:t>
      </w:r>
    </w:p>
    <w:p w:rsidR="0007371E" w:rsidRDefault="0007371E" w:rsidP="00F04F3B">
      <w:pPr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07371E" w:rsidRDefault="0007371E" w:rsidP="00144636">
      <w:pPr>
        <w:pStyle w:val="ListParagraph"/>
        <w:numPr>
          <w:ilvl w:val="0"/>
          <w:numId w:val="1"/>
        </w:numPr>
        <w:ind w:left="284" w:hanging="284"/>
        <w:jc w:val="both"/>
        <w:rPr>
          <w:rFonts w:ascii="Calibri" w:hAnsi="Calibri"/>
          <w:b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  <w:szCs w:val="22"/>
        </w:rPr>
        <w:t xml:space="preserve">Coordination practice: </w:t>
      </w:r>
    </w:p>
    <w:p w:rsidR="0007371E" w:rsidRPr="00144636" w:rsidRDefault="0007371E" w:rsidP="00144636">
      <w:pPr>
        <w:pStyle w:val="ListParagraph"/>
        <w:numPr>
          <w:ilvl w:val="1"/>
          <w:numId w:val="1"/>
        </w:numPr>
        <w:ind w:left="851" w:hanging="284"/>
        <w:jc w:val="both"/>
        <w:rPr>
          <w:rFonts w:ascii="Calibri" w:hAnsi="Calibri"/>
          <w:b/>
          <w:color w:val="000000" w:themeColor="text1"/>
          <w:sz w:val="22"/>
          <w:szCs w:val="22"/>
        </w:rPr>
      </w:pPr>
      <w:r>
        <w:rPr>
          <w:rFonts w:ascii="Calibri" w:hAnsi="Calibri"/>
          <w:bCs/>
          <w:color w:val="000000" w:themeColor="text1"/>
          <w:sz w:val="22"/>
          <w:szCs w:val="22"/>
        </w:rPr>
        <w:t>Formalize and improve distribution lists, send invitations and requests for agenda items with more time, share minutes timely.</w:t>
      </w:r>
    </w:p>
    <w:p w:rsidR="00144636" w:rsidRPr="00144636" w:rsidRDefault="00144636" w:rsidP="00144636">
      <w:pPr>
        <w:pStyle w:val="ListParagraph"/>
        <w:numPr>
          <w:ilvl w:val="1"/>
          <w:numId w:val="1"/>
        </w:numPr>
        <w:ind w:left="851" w:hanging="284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>
        <w:rPr>
          <w:rFonts w:ascii="Calibri" w:hAnsi="Calibri"/>
          <w:bCs/>
          <w:color w:val="000000" w:themeColor="text1"/>
          <w:sz w:val="22"/>
          <w:szCs w:val="22"/>
        </w:rPr>
        <w:t>A</w:t>
      </w:r>
      <w:r w:rsidRPr="00144636">
        <w:rPr>
          <w:rFonts w:ascii="Calibri" w:hAnsi="Calibri"/>
          <w:bCs/>
          <w:color w:val="000000" w:themeColor="text1"/>
          <w:sz w:val="22"/>
          <w:szCs w:val="22"/>
        </w:rPr>
        <w:t xml:space="preserve">gencies commit to send staff with the right seniority for decision making and to </w:t>
      </w:r>
      <w:r w:rsidRPr="00144636">
        <w:rPr>
          <w:rFonts w:ascii="Calibri" w:hAnsi="Calibri"/>
          <w:bCs/>
          <w:color w:val="000000" w:themeColor="text1"/>
          <w:sz w:val="22"/>
          <w:szCs w:val="22"/>
        </w:rPr>
        <w:t>ensure consistency</w:t>
      </w:r>
      <w:r w:rsidRPr="00144636">
        <w:rPr>
          <w:rFonts w:ascii="Calibri" w:hAnsi="Calibri"/>
          <w:bCs/>
          <w:color w:val="000000" w:themeColor="text1"/>
          <w:sz w:val="22"/>
          <w:szCs w:val="22"/>
        </w:rPr>
        <w:t xml:space="preserve"> in the attendance</w:t>
      </w:r>
      <w:r>
        <w:rPr>
          <w:rFonts w:ascii="Calibri" w:hAnsi="Calibri"/>
          <w:bCs/>
          <w:color w:val="000000" w:themeColor="text1"/>
          <w:sz w:val="22"/>
          <w:szCs w:val="22"/>
        </w:rPr>
        <w:t>.</w:t>
      </w:r>
    </w:p>
    <w:p w:rsidR="006C7AF4" w:rsidRPr="0007371E" w:rsidRDefault="006C7AF4" w:rsidP="006C7AF4">
      <w:pPr>
        <w:pStyle w:val="ListParagraph"/>
        <w:ind w:left="1440"/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07371E" w:rsidRDefault="0007371E" w:rsidP="00144636">
      <w:pPr>
        <w:pStyle w:val="ListParagraph"/>
        <w:numPr>
          <w:ilvl w:val="0"/>
          <w:numId w:val="1"/>
        </w:numPr>
        <w:ind w:left="284" w:hanging="284"/>
        <w:jc w:val="both"/>
        <w:rPr>
          <w:rFonts w:ascii="Calibri" w:hAnsi="Calibri"/>
          <w:b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  <w:szCs w:val="22"/>
        </w:rPr>
        <w:t>Coordination formalization:</w:t>
      </w:r>
    </w:p>
    <w:p w:rsidR="0007371E" w:rsidRDefault="004E04D9" w:rsidP="00144636">
      <w:pPr>
        <w:pStyle w:val="ListParagraph"/>
        <w:numPr>
          <w:ilvl w:val="1"/>
          <w:numId w:val="1"/>
        </w:numPr>
        <w:ind w:left="851" w:hanging="284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>
        <w:rPr>
          <w:rFonts w:ascii="Calibri" w:hAnsi="Calibri"/>
          <w:bCs/>
          <w:color w:val="000000" w:themeColor="text1"/>
          <w:sz w:val="22"/>
          <w:szCs w:val="22"/>
        </w:rPr>
        <w:t>Revisit and adapt</w:t>
      </w:r>
      <w:r w:rsidRPr="0007371E">
        <w:rPr>
          <w:rFonts w:ascii="Calibri" w:hAnsi="Calibri"/>
          <w:bCs/>
          <w:color w:val="000000" w:themeColor="text1"/>
          <w:sz w:val="22"/>
          <w:szCs w:val="22"/>
        </w:rPr>
        <w:t xml:space="preserve"> </w:t>
      </w:r>
      <w:r w:rsidR="0007371E" w:rsidRPr="0007371E">
        <w:rPr>
          <w:rFonts w:ascii="Calibri" w:hAnsi="Calibri"/>
          <w:bCs/>
          <w:color w:val="000000" w:themeColor="text1"/>
          <w:sz w:val="22"/>
          <w:szCs w:val="22"/>
        </w:rPr>
        <w:t xml:space="preserve">clear TORs for Interagency and </w:t>
      </w:r>
      <w:proofErr w:type="spellStart"/>
      <w:r w:rsidR="0007371E" w:rsidRPr="0007371E">
        <w:rPr>
          <w:rFonts w:ascii="Calibri" w:hAnsi="Calibri"/>
          <w:bCs/>
          <w:color w:val="000000" w:themeColor="text1"/>
          <w:sz w:val="22"/>
          <w:szCs w:val="22"/>
        </w:rPr>
        <w:t>Intersector</w:t>
      </w:r>
      <w:proofErr w:type="spellEnd"/>
      <w:r w:rsidR="0007371E">
        <w:rPr>
          <w:rFonts w:ascii="Calibri" w:hAnsi="Calibri"/>
          <w:bCs/>
          <w:color w:val="000000" w:themeColor="text1"/>
          <w:sz w:val="22"/>
          <w:szCs w:val="22"/>
        </w:rPr>
        <w:t xml:space="preserve">, having Interagency focus on information sharing and </w:t>
      </w:r>
      <w:proofErr w:type="spellStart"/>
      <w:r w:rsidR="0007371E">
        <w:rPr>
          <w:rFonts w:ascii="Calibri" w:hAnsi="Calibri"/>
          <w:bCs/>
          <w:color w:val="000000" w:themeColor="text1"/>
          <w:sz w:val="22"/>
          <w:szCs w:val="22"/>
        </w:rPr>
        <w:t>Intersector</w:t>
      </w:r>
      <w:proofErr w:type="spellEnd"/>
      <w:r w:rsidR="0007371E">
        <w:rPr>
          <w:rFonts w:ascii="Calibri" w:hAnsi="Calibri"/>
          <w:bCs/>
          <w:color w:val="000000" w:themeColor="text1"/>
          <w:sz w:val="22"/>
          <w:szCs w:val="22"/>
        </w:rPr>
        <w:t xml:space="preserve"> on planning, strategy and substantive themes.</w:t>
      </w:r>
    </w:p>
    <w:p w:rsidR="0007371E" w:rsidRDefault="0007371E" w:rsidP="00144636">
      <w:pPr>
        <w:pStyle w:val="ListParagraph"/>
        <w:numPr>
          <w:ilvl w:val="1"/>
          <w:numId w:val="1"/>
        </w:numPr>
        <w:ind w:left="851" w:hanging="284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>
        <w:rPr>
          <w:rFonts w:ascii="Calibri" w:hAnsi="Calibri"/>
          <w:bCs/>
          <w:color w:val="000000" w:themeColor="text1"/>
          <w:sz w:val="22"/>
          <w:szCs w:val="22"/>
        </w:rPr>
        <w:t>Increase email and electronic communication inside Interagency and evaluate within six months if it is possible to discontinue.</w:t>
      </w:r>
    </w:p>
    <w:p w:rsidR="0007371E" w:rsidRDefault="0007371E" w:rsidP="00144636">
      <w:pPr>
        <w:pStyle w:val="ListParagraph"/>
        <w:numPr>
          <w:ilvl w:val="1"/>
          <w:numId w:val="1"/>
        </w:numPr>
        <w:ind w:left="851" w:hanging="284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>
        <w:rPr>
          <w:rFonts w:ascii="Calibri" w:hAnsi="Calibri"/>
          <w:bCs/>
          <w:color w:val="000000" w:themeColor="text1"/>
          <w:sz w:val="22"/>
          <w:szCs w:val="22"/>
        </w:rPr>
        <w:t xml:space="preserve">Develop in a participatory way an </w:t>
      </w:r>
      <w:proofErr w:type="spellStart"/>
      <w:r>
        <w:rPr>
          <w:rFonts w:ascii="Calibri" w:hAnsi="Calibri"/>
          <w:bCs/>
          <w:color w:val="000000" w:themeColor="text1"/>
          <w:sz w:val="22"/>
          <w:szCs w:val="22"/>
        </w:rPr>
        <w:t>Intersector</w:t>
      </w:r>
      <w:proofErr w:type="spellEnd"/>
      <w:r>
        <w:rPr>
          <w:rFonts w:ascii="Calibri" w:hAnsi="Calibri"/>
          <w:bCs/>
          <w:color w:val="000000" w:themeColor="text1"/>
          <w:sz w:val="22"/>
          <w:szCs w:val="22"/>
        </w:rPr>
        <w:t xml:space="preserve"> strategy for 2018, focusing on substantive themes. A small working group including representative participants from INGOs and NNGOs will prepare preliminary inputs.</w:t>
      </w:r>
    </w:p>
    <w:p w:rsidR="0007371E" w:rsidRDefault="0007371E" w:rsidP="00144636">
      <w:pPr>
        <w:pStyle w:val="ListParagraph"/>
        <w:numPr>
          <w:ilvl w:val="1"/>
          <w:numId w:val="1"/>
        </w:numPr>
        <w:ind w:left="851" w:hanging="284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>
        <w:rPr>
          <w:rFonts w:ascii="Calibri" w:hAnsi="Calibri"/>
          <w:bCs/>
          <w:color w:val="000000" w:themeColor="text1"/>
          <w:sz w:val="22"/>
          <w:szCs w:val="22"/>
        </w:rPr>
        <w:t>Do lessons learnt of the MSA project, systematize it and seek possibilities to extend it with more participants.</w:t>
      </w:r>
    </w:p>
    <w:p w:rsidR="006C7AF4" w:rsidRDefault="006C7AF4" w:rsidP="006C7AF4">
      <w:pPr>
        <w:pStyle w:val="ListParagraph"/>
        <w:ind w:left="1440"/>
        <w:jc w:val="both"/>
        <w:rPr>
          <w:rFonts w:ascii="Calibri" w:hAnsi="Calibri"/>
          <w:bCs/>
          <w:color w:val="000000" w:themeColor="text1"/>
          <w:sz w:val="22"/>
          <w:szCs w:val="22"/>
        </w:rPr>
      </w:pPr>
    </w:p>
    <w:p w:rsidR="0007371E" w:rsidRPr="0007371E" w:rsidRDefault="0007371E" w:rsidP="00144636">
      <w:pPr>
        <w:pStyle w:val="ListParagraph"/>
        <w:numPr>
          <w:ilvl w:val="0"/>
          <w:numId w:val="1"/>
        </w:numPr>
        <w:ind w:left="284" w:hanging="284"/>
        <w:jc w:val="both"/>
        <w:rPr>
          <w:rFonts w:ascii="Calibri" w:hAnsi="Calibri"/>
          <w:b/>
          <w:color w:val="000000" w:themeColor="text1"/>
          <w:sz w:val="22"/>
          <w:szCs w:val="22"/>
        </w:rPr>
      </w:pPr>
      <w:r w:rsidRPr="0007371E">
        <w:rPr>
          <w:rFonts w:ascii="Calibri" w:hAnsi="Calibri"/>
          <w:b/>
          <w:color w:val="000000" w:themeColor="text1"/>
          <w:sz w:val="22"/>
          <w:szCs w:val="22"/>
        </w:rPr>
        <w:t>Strengthen knowledge management</w:t>
      </w:r>
    </w:p>
    <w:p w:rsidR="0007371E" w:rsidRDefault="0007371E" w:rsidP="00144636">
      <w:pPr>
        <w:pStyle w:val="ListParagraph"/>
        <w:numPr>
          <w:ilvl w:val="1"/>
          <w:numId w:val="1"/>
        </w:numPr>
        <w:ind w:left="851" w:hanging="284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>
        <w:rPr>
          <w:rFonts w:ascii="Calibri" w:hAnsi="Calibri"/>
          <w:bCs/>
          <w:color w:val="000000" w:themeColor="text1"/>
          <w:sz w:val="22"/>
          <w:szCs w:val="22"/>
        </w:rPr>
        <w:t>Reinforce knowledge, information and analysis management capacities in the Bekaa in order to:</w:t>
      </w:r>
    </w:p>
    <w:p w:rsidR="0007371E" w:rsidRDefault="0007371E" w:rsidP="00144636">
      <w:pPr>
        <w:pStyle w:val="ListParagraph"/>
        <w:numPr>
          <w:ilvl w:val="2"/>
          <w:numId w:val="1"/>
        </w:numPr>
        <w:ind w:left="1418" w:hanging="284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>
        <w:rPr>
          <w:rFonts w:ascii="Calibri" w:hAnsi="Calibri"/>
          <w:bCs/>
          <w:color w:val="000000" w:themeColor="text1"/>
          <w:sz w:val="22"/>
          <w:szCs w:val="22"/>
        </w:rPr>
        <w:t>Improve evidence-based decision making on coverage of gaps and priorities,</w:t>
      </w:r>
    </w:p>
    <w:p w:rsidR="0007371E" w:rsidRDefault="0007371E" w:rsidP="00144636">
      <w:pPr>
        <w:pStyle w:val="ListParagraph"/>
        <w:numPr>
          <w:ilvl w:val="2"/>
          <w:numId w:val="1"/>
        </w:numPr>
        <w:ind w:left="1418" w:hanging="284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>
        <w:rPr>
          <w:rFonts w:ascii="Calibri" w:hAnsi="Calibri"/>
          <w:bCs/>
          <w:color w:val="000000" w:themeColor="text1"/>
          <w:sz w:val="22"/>
          <w:szCs w:val="22"/>
        </w:rPr>
        <w:t>Improve information to authorities on humanitarian activities, in Arabic,</w:t>
      </w:r>
    </w:p>
    <w:p w:rsidR="0007371E" w:rsidRDefault="0007371E" w:rsidP="00144636">
      <w:pPr>
        <w:pStyle w:val="ListParagraph"/>
        <w:numPr>
          <w:ilvl w:val="2"/>
          <w:numId w:val="1"/>
        </w:numPr>
        <w:ind w:left="1418" w:hanging="284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>
        <w:rPr>
          <w:rFonts w:ascii="Calibri" w:hAnsi="Calibri"/>
          <w:bCs/>
          <w:color w:val="000000" w:themeColor="text1"/>
          <w:sz w:val="22"/>
          <w:szCs w:val="22"/>
        </w:rPr>
        <w:t>Facilitate more electronic-based sharing of information among Interagency,</w:t>
      </w:r>
    </w:p>
    <w:p w:rsidR="006C7AF4" w:rsidRDefault="006C7AF4" w:rsidP="00144636">
      <w:pPr>
        <w:pStyle w:val="ListParagraph"/>
        <w:numPr>
          <w:ilvl w:val="2"/>
          <w:numId w:val="1"/>
        </w:numPr>
        <w:ind w:left="1418" w:hanging="284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>
        <w:rPr>
          <w:rFonts w:ascii="Calibri" w:hAnsi="Calibri"/>
          <w:bCs/>
          <w:color w:val="000000" w:themeColor="text1"/>
          <w:sz w:val="22"/>
          <w:szCs w:val="22"/>
        </w:rPr>
        <w:t>Strengthen knowledge and analysis of the situation in the Bekaa.</w:t>
      </w:r>
    </w:p>
    <w:p w:rsidR="006C7AF4" w:rsidRDefault="006C7AF4" w:rsidP="006C7AF4">
      <w:pPr>
        <w:pStyle w:val="ListParagraph"/>
        <w:ind w:left="2160"/>
        <w:jc w:val="both"/>
        <w:rPr>
          <w:rFonts w:ascii="Calibri" w:hAnsi="Calibri"/>
          <w:bCs/>
          <w:color w:val="000000" w:themeColor="text1"/>
          <w:sz w:val="22"/>
          <w:szCs w:val="22"/>
        </w:rPr>
      </w:pPr>
    </w:p>
    <w:p w:rsidR="006C7AF4" w:rsidRDefault="006C7AF4" w:rsidP="00144636">
      <w:pPr>
        <w:pStyle w:val="ListParagraph"/>
        <w:numPr>
          <w:ilvl w:val="0"/>
          <w:numId w:val="1"/>
        </w:numPr>
        <w:ind w:left="284" w:hanging="284"/>
        <w:jc w:val="both"/>
        <w:rPr>
          <w:rFonts w:ascii="Calibri" w:hAnsi="Calibri"/>
          <w:b/>
          <w:color w:val="000000" w:themeColor="text1"/>
          <w:sz w:val="22"/>
          <w:szCs w:val="22"/>
        </w:rPr>
      </w:pPr>
      <w:r w:rsidRPr="006C7AF4">
        <w:rPr>
          <w:rFonts w:ascii="Calibri" w:hAnsi="Calibri"/>
          <w:b/>
          <w:color w:val="000000" w:themeColor="text1"/>
          <w:sz w:val="22"/>
          <w:szCs w:val="22"/>
        </w:rPr>
        <w:t>Contingency planning</w:t>
      </w:r>
    </w:p>
    <w:p w:rsidR="006C7AF4" w:rsidRDefault="006C7AF4" w:rsidP="00144636">
      <w:pPr>
        <w:pStyle w:val="ListParagraph"/>
        <w:numPr>
          <w:ilvl w:val="1"/>
          <w:numId w:val="1"/>
        </w:numPr>
        <w:ind w:left="851" w:hanging="284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 w:rsidRPr="006C7AF4">
        <w:rPr>
          <w:rFonts w:ascii="Calibri" w:hAnsi="Calibri"/>
          <w:bCs/>
          <w:color w:val="000000" w:themeColor="text1"/>
          <w:sz w:val="22"/>
          <w:szCs w:val="22"/>
        </w:rPr>
        <w:t>Complete, in a participatory way, prioritized contingency planning in the Bekaa</w:t>
      </w:r>
    </w:p>
    <w:p w:rsidR="006C7AF4" w:rsidRDefault="006C7AF4" w:rsidP="006C7AF4">
      <w:pPr>
        <w:jc w:val="both"/>
        <w:rPr>
          <w:rFonts w:ascii="Calibri" w:hAnsi="Calibri"/>
          <w:bCs/>
          <w:color w:val="000000" w:themeColor="text1"/>
          <w:sz w:val="22"/>
          <w:szCs w:val="22"/>
        </w:rPr>
      </w:pPr>
    </w:p>
    <w:p w:rsidR="006C7AF4" w:rsidRPr="006C7AF4" w:rsidRDefault="006C7AF4" w:rsidP="006C7AF4">
      <w:pPr>
        <w:pBdr>
          <w:bottom w:val="single" w:sz="4" w:space="1" w:color="auto"/>
        </w:pBdr>
        <w:jc w:val="both"/>
        <w:rPr>
          <w:rFonts w:ascii="Calibri" w:hAnsi="Calibri"/>
          <w:b/>
          <w:i/>
          <w:iCs/>
          <w:color w:val="000000" w:themeColor="text1"/>
          <w:sz w:val="28"/>
          <w:szCs w:val="28"/>
        </w:rPr>
      </w:pPr>
      <w:r w:rsidRPr="006C7AF4">
        <w:rPr>
          <w:rFonts w:ascii="Calibri" w:hAnsi="Calibri"/>
          <w:b/>
          <w:i/>
          <w:iCs/>
          <w:color w:val="000000" w:themeColor="text1"/>
          <w:sz w:val="28"/>
          <w:szCs w:val="28"/>
        </w:rPr>
        <w:t>Substance</w:t>
      </w:r>
    </w:p>
    <w:p w:rsidR="006C7AF4" w:rsidRDefault="006C7AF4" w:rsidP="006C7AF4">
      <w:pPr>
        <w:jc w:val="both"/>
        <w:rPr>
          <w:rFonts w:ascii="Calibri" w:hAnsi="Calibri"/>
          <w:bCs/>
          <w:color w:val="000000" w:themeColor="text1"/>
          <w:sz w:val="22"/>
          <w:szCs w:val="22"/>
        </w:rPr>
      </w:pPr>
    </w:p>
    <w:p w:rsidR="006C7AF4" w:rsidRDefault="006C7AF4" w:rsidP="00144636">
      <w:pPr>
        <w:pStyle w:val="ListParagraph"/>
        <w:numPr>
          <w:ilvl w:val="0"/>
          <w:numId w:val="1"/>
        </w:numPr>
        <w:ind w:left="284" w:hanging="284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 w:rsidRPr="006C7AF4">
        <w:rPr>
          <w:rFonts w:ascii="Calibri" w:hAnsi="Calibri"/>
          <w:b/>
          <w:color w:val="000000" w:themeColor="text1"/>
          <w:sz w:val="22"/>
          <w:szCs w:val="22"/>
        </w:rPr>
        <w:t>Vulnerability</w:t>
      </w:r>
      <w:r>
        <w:rPr>
          <w:rFonts w:ascii="Calibri" w:hAnsi="Calibri"/>
          <w:bCs/>
          <w:color w:val="000000" w:themeColor="text1"/>
          <w:sz w:val="22"/>
          <w:szCs w:val="22"/>
        </w:rPr>
        <w:t>: Improve joint understanding, targeting and in general addressing issues of vulnerability (including Lebanese) in particular regarding upcoming budget cuts for humanitarian aid.</w:t>
      </w:r>
    </w:p>
    <w:p w:rsidR="006C7AF4" w:rsidRPr="006C7AF4" w:rsidRDefault="006C7AF4" w:rsidP="00144636">
      <w:pPr>
        <w:pStyle w:val="ListParagraph"/>
        <w:numPr>
          <w:ilvl w:val="0"/>
          <w:numId w:val="1"/>
        </w:numPr>
        <w:ind w:left="284" w:hanging="284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  <w:szCs w:val="22"/>
        </w:rPr>
        <w:t>ITSs management</w:t>
      </w:r>
      <w:r w:rsidRPr="006C7AF4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Improve the management of ITS in order, among other issues, for purposes of disaster risk reduction, while keeping in mind that some policy decisions depend from the central level.</w:t>
      </w:r>
    </w:p>
    <w:p w:rsidR="006C7AF4" w:rsidRPr="006C7AF4" w:rsidRDefault="006C7AF4" w:rsidP="00144636">
      <w:pPr>
        <w:pStyle w:val="ListParagraph"/>
        <w:numPr>
          <w:ilvl w:val="0"/>
          <w:numId w:val="1"/>
        </w:numPr>
        <w:ind w:left="284" w:hanging="284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  <w:szCs w:val="22"/>
        </w:rPr>
        <w:t>Communication with communities</w:t>
      </w:r>
      <w:r w:rsidRPr="006C7AF4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Develop joint standards and practice to improve our approach to communication with communities including AAP.</w:t>
      </w:r>
    </w:p>
    <w:p w:rsidR="006C7AF4" w:rsidRPr="006C7AF4" w:rsidRDefault="006C7AF4" w:rsidP="00144636">
      <w:pPr>
        <w:pStyle w:val="ListParagraph"/>
        <w:numPr>
          <w:ilvl w:val="0"/>
          <w:numId w:val="1"/>
        </w:numPr>
        <w:ind w:left="284" w:hanging="284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  <w:szCs w:val="22"/>
        </w:rPr>
        <w:t>Peaceful coexistence</w:t>
      </w:r>
      <w:r w:rsidRPr="006C7AF4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Formalize and strengthen the Social Stability Working Group as the main cooperative means to develop standards and improve humanitarian – development coordination.</w:t>
      </w:r>
    </w:p>
    <w:p w:rsidR="006C7AF4" w:rsidRPr="006C7AF4" w:rsidRDefault="006C7AF4" w:rsidP="006C7AF4">
      <w:pPr>
        <w:pStyle w:val="ListParagraph"/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6"/>
      </w:tblGrid>
      <w:tr w:rsidR="006C7AF4" w:rsidRPr="00B71B9D" w:rsidTr="00027A50">
        <w:tc>
          <w:tcPr>
            <w:tcW w:w="10272" w:type="dxa"/>
            <w:shd w:val="clear" w:color="auto" w:fill="C6D9F1" w:themeFill="text2" w:themeFillTint="33"/>
          </w:tcPr>
          <w:p w:rsidR="006C7AF4" w:rsidRPr="00B71B9D" w:rsidRDefault="006C7AF4" w:rsidP="00027A50">
            <w:pPr>
              <w:jc w:val="both"/>
              <w:rPr>
                <w:rFonts w:ascii="Calibri" w:hAnsi="Calibri"/>
                <w:b/>
                <w:color w:val="000000" w:themeColor="text1"/>
              </w:rPr>
            </w:pPr>
            <w:r w:rsidRPr="00B71B9D">
              <w:rPr>
                <w:rFonts w:ascii="Calibri" w:hAnsi="Calibri"/>
                <w:b/>
                <w:color w:val="000000" w:themeColor="text1"/>
              </w:rPr>
              <w:t>Follow up</w:t>
            </w:r>
          </w:p>
        </w:tc>
      </w:tr>
    </w:tbl>
    <w:p w:rsidR="006C7AF4" w:rsidRDefault="006C7AF4" w:rsidP="006C7AF4">
      <w:pPr>
        <w:jc w:val="both"/>
        <w:rPr>
          <w:rFonts w:ascii="Calibri" w:hAnsi="Calibri"/>
          <w:bCs/>
          <w:color w:val="000000" w:themeColor="text1"/>
          <w:sz w:val="22"/>
          <w:szCs w:val="22"/>
        </w:rPr>
      </w:pPr>
    </w:p>
    <w:p w:rsidR="006C7AF4" w:rsidRPr="006C7AF4" w:rsidRDefault="00B71B9D" w:rsidP="004E04D9">
      <w:pPr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>
        <w:rPr>
          <w:rFonts w:ascii="Calibri" w:hAnsi="Calibri"/>
          <w:bCs/>
          <w:color w:val="000000" w:themeColor="text1"/>
          <w:sz w:val="22"/>
          <w:szCs w:val="22"/>
        </w:rPr>
        <w:t xml:space="preserve">An </w:t>
      </w:r>
      <w:proofErr w:type="spellStart"/>
      <w:r>
        <w:rPr>
          <w:rFonts w:ascii="Calibri" w:hAnsi="Calibri"/>
          <w:bCs/>
          <w:color w:val="000000" w:themeColor="text1"/>
          <w:sz w:val="22"/>
          <w:szCs w:val="22"/>
        </w:rPr>
        <w:t>Intersector</w:t>
      </w:r>
      <w:proofErr w:type="spellEnd"/>
      <w:r>
        <w:rPr>
          <w:rFonts w:ascii="Calibri" w:hAnsi="Calibri"/>
          <w:bCs/>
          <w:color w:val="000000" w:themeColor="text1"/>
          <w:sz w:val="22"/>
          <w:szCs w:val="22"/>
        </w:rPr>
        <w:t xml:space="preserve"> workshop will be called to plan on the actions above, as well as to </w:t>
      </w:r>
      <w:r w:rsidR="004E04D9">
        <w:rPr>
          <w:rFonts w:ascii="Calibri" w:hAnsi="Calibri"/>
          <w:bCs/>
          <w:color w:val="000000" w:themeColor="text1"/>
          <w:sz w:val="22"/>
          <w:szCs w:val="22"/>
        </w:rPr>
        <w:t xml:space="preserve">revisit and adapt </w:t>
      </w:r>
      <w:r>
        <w:rPr>
          <w:rFonts w:ascii="Calibri" w:hAnsi="Calibri"/>
          <w:bCs/>
          <w:color w:val="000000" w:themeColor="text1"/>
          <w:sz w:val="22"/>
          <w:szCs w:val="22"/>
        </w:rPr>
        <w:t xml:space="preserve">TORs for Interagency and </w:t>
      </w:r>
      <w:proofErr w:type="spellStart"/>
      <w:r>
        <w:rPr>
          <w:rFonts w:ascii="Calibri" w:hAnsi="Calibri"/>
          <w:bCs/>
          <w:color w:val="000000" w:themeColor="text1"/>
          <w:sz w:val="22"/>
          <w:szCs w:val="22"/>
        </w:rPr>
        <w:t>Intersector</w:t>
      </w:r>
      <w:proofErr w:type="spellEnd"/>
      <w:r>
        <w:rPr>
          <w:rFonts w:ascii="Calibri" w:hAnsi="Calibri"/>
          <w:bCs/>
          <w:color w:val="000000" w:themeColor="text1"/>
          <w:sz w:val="22"/>
          <w:szCs w:val="22"/>
        </w:rPr>
        <w:t>. Preliminary inputs to the workshop will be prepared by a working group with adequate representation from INGOs, NNGOs, UN agencies, authorities etc.</w:t>
      </w:r>
    </w:p>
    <w:sectPr w:rsidR="006C7AF4" w:rsidRPr="006C7AF4" w:rsidSect="006C7AF4">
      <w:footerReference w:type="default" r:id="rId8"/>
      <w:headerReference w:type="first" r:id="rId9"/>
      <w:footerReference w:type="first" r:id="rId10"/>
      <w:pgSz w:w="11900" w:h="16840"/>
      <w:pgMar w:top="709" w:right="851" w:bottom="1440" w:left="99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A13" w:rsidRDefault="00915A13" w:rsidP="00EB43B5">
      <w:r>
        <w:separator/>
      </w:r>
    </w:p>
  </w:endnote>
  <w:endnote w:type="continuationSeparator" w:id="0">
    <w:p w:rsidR="00915A13" w:rsidRDefault="00915A13" w:rsidP="00EB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13163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67FDF" w:rsidRDefault="00267FD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4636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67FDF" w:rsidRDefault="00267F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B9D" w:rsidRPr="00B71B9D" w:rsidRDefault="00B71B9D" w:rsidP="00B71B9D">
    <w:pPr>
      <w:pStyle w:val="Footer"/>
      <w:rPr>
        <w:i/>
        <w:iCs/>
        <w:color w:val="BFBFBF" w:themeColor="background1" w:themeShade="BF"/>
        <w:sz w:val="22"/>
        <w:szCs w:val="22"/>
      </w:rPr>
    </w:pPr>
    <w:r w:rsidRPr="00B71B9D">
      <w:rPr>
        <w:i/>
        <w:iCs/>
        <w:color w:val="BFBFBF" w:themeColor="background1" w:themeShade="BF"/>
        <w:sz w:val="22"/>
        <w:szCs w:val="22"/>
      </w:rPr>
      <w:t>Draft – 26 February 2018</w:t>
    </w:r>
  </w:p>
  <w:p w:rsidR="00C45CDC" w:rsidRDefault="00C45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A13" w:rsidRDefault="00915A13" w:rsidP="00EB43B5">
      <w:r>
        <w:separator/>
      </w:r>
    </w:p>
  </w:footnote>
  <w:footnote w:type="continuationSeparator" w:id="0">
    <w:p w:rsidR="00915A13" w:rsidRDefault="00915A13" w:rsidP="00EB4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CDC" w:rsidRDefault="00144636" w:rsidP="0076502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5269644</wp:posOffset>
          </wp:positionH>
          <wp:positionV relativeFrom="paragraph">
            <wp:posOffset>-242929</wp:posOffset>
          </wp:positionV>
          <wp:extent cx="1249200" cy="291600"/>
          <wp:effectExtent l="0" t="0" r="825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200" cy="29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45CDC" w:rsidRDefault="00C45CDC">
    <w:pPr>
      <w:pStyle w:val="Header"/>
    </w:pPr>
  </w:p>
  <w:p w:rsidR="00C45CDC" w:rsidRDefault="00C45C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E02BE"/>
    <w:multiLevelType w:val="hybridMultilevel"/>
    <w:tmpl w:val="DF787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433FE"/>
    <w:multiLevelType w:val="hybridMultilevel"/>
    <w:tmpl w:val="B5CAB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E"/>
    <w:rsid w:val="00021924"/>
    <w:rsid w:val="000317A5"/>
    <w:rsid w:val="000544C3"/>
    <w:rsid w:val="00056C29"/>
    <w:rsid w:val="00066A25"/>
    <w:rsid w:val="0007371E"/>
    <w:rsid w:val="00074379"/>
    <w:rsid w:val="000808BE"/>
    <w:rsid w:val="0008280E"/>
    <w:rsid w:val="0009307D"/>
    <w:rsid w:val="000A6316"/>
    <w:rsid w:val="000B17B3"/>
    <w:rsid w:val="000B2F26"/>
    <w:rsid w:val="000C5722"/>
    <w:rsid w:val="000D05DB"/>
    <w:rsid w:val="000D0ED7"/>
    <w:rsid w:val="000D2772"/>
    <w:rsid w:val="000F03D7"/>
    <w:rsid w:val="000F38B4"/>
    <w:rsid w:val="00104A89"/>
    <w:rsid w:val="00105030"/>
    <w:rsid w:val="0011026A"/>
    <w:rsid w:val="00110988"/>
    <w:rsid w:val="00111575"/>
    <w:rsid w:val="00112B85"/>
    <w:rsid w:val="001267E1"/>
    <w:rsid w:val="00132D15"/>
    <w:rsid w:val="00133F63"/>
    <w:rsid w:val="00140381"/>
    <w:rsid w:val="001427E9"/>
    <w:rsid w:val="00144636"/>
    <w:rsid w:val="00154DA1"/>
    <w:rsid w:val="001833AA"/>
    <w:rsid w:val="00183AE5"/>
    <w:rsid w:val="00187D4D"/>
    <w:rsid w:val="001A25F4"/>
    <w:rsid w:val="001B2A5B"/>
    <w:rsid w:val="001B3956"/>
    <w:rsid w:val="001C1CBC"/>
    <w:rsid w:val="001C6842"/>
    <w:rsid w:val="001E1B92"/>
    <w:rsid w:val="001F05AB"/>
    <w:rsid w:val="001F17F6"/>
    <w:rsid w:val="001F1E2D"/>
    <w:rsid w:val="001F4D43"/>
    <w:rsid w:val="001F6C44"/>
    <w:rsid w:val="002044A8"/>
    <w:rsid w:val="00205095"/>
    <w:rsid w:val="00205F4C"/>
    <w:rsid w:val="00222BBD"/>
    <w:rsid w:val="00226720"/>
    <w:rsid w:val="00226B2A"/>
    <w:rsid w:val="0023623B"/>
    <w:rsid w:val="00236D17"/>
    <w:rsid w:val="00241A99"/>
    <w:rsid w:val="00242C7A"/>
    <w:rsid w:val="00244700"/>
    <w:rsid w:val="00246B53"/>
    <w:rsid w:val="00256AB8"/>
    <w:rsid w:val="00267FDF"/>
    <w:rsid w:val="00270372"/>
    <w:rsid w:val="002732F4"/>
    <w:rsid w:val="00274E1A"/>
    <w:rsid w:val="002909F1"/>
    <w:rsid w:val="00291A07"/>
    <w:rsid w:val="0029667E"/>
    <w:rsid w:val="002974E6"/>
    <w:rsid w:val="002A1C0D"/>
    <w:rsid w:val="002A3421"/>
    <w:rsid w:val="002B13E2"/>
    <w:rsid w:val="002E054D"/>
    <w:rsid w:val="002E4BE9"/>
    <w:rsid w:val="002F229F"/>
    <w:rsid w:val="0030004F"/>
    <w:rsid w:val="00301BAC"/>
    <w:rsid w:val="00327618"/>
    <w:rsid w:val="00335DC0"/>
    <w:rsid w:val="00341701"/>
    <w:rsid w:val="003505B5"/>
    <w:rsid w:val="003556A1"/>
    <w:rsid w:val="003573EB"/>
    <w:rsid w:val="00364AD9"/>
    <w:rsid w:val="0036702B"/>
    <w:rsid w:val="003A2859"/>
    <w:rsid w:val="003A2A0F"/>
    <w:rsid w:val="003A5834"/>
    <w:rsid w:val="003A686B"/>
    <w:rsid w:val="003A6E9C"/>
    <w:rsid w:val="003A71DE"/>
    <w:rsid w:val="003A7AE9"/>
    <w:rsid w:val="003B1D2D"/>
    <w:rsid w:val="003B4416"/>
    <w:rsid w:val="003B48CD"/>
    <w:rsid w:val="003C4702"/>
    <w:rsid w:val="003C4BAF"/>
    <w:rsid w:val="003C6E93"/>
    <w:rsid w:val="003E0B7A"/>
    <w:rsid w:val="003E70FC"/>
    <w:rsid w:val="003E78CC"/>
    <w:rsid w:val="003F0686"/>
    <w:rsid w:val="003F668E"/>
    <w:rsid w:val="00400622"/>
    <w:rsid w:val="00411A7E"/>
    <w:rsid w:val="004213FC"/>
    <w:rsid w:val="00426C10"/>
    <w:rsid w:val="0043014F"/>
    <w:rsid w:val="004335CA"/>
    <w:rsid w:val="0043441D"/>
    <w:rsid w:val="0044608D"/>
    <w:rsid w:val="0044685B"/>
    <w:rsid w:val="0045067A"/>
    <w:rsid w:val="004550D7"/>
    <w:rsid w:val="0045584E"/>
    <w:rsid w:val="0046410B"/>
    <w:rsid w:val="00473958"/>
    <w:rsid w:val="00476A35"/>
    <w:rsid w:val="004776F3"/>
    <w:rsid w:val="00481013"/>
    <w:rsid w:val="00481F01"/>
    <w:rsid w:val="00484BE6"/>
    <w:rsid w:val="00493BA0"/>
    <w:rsid w:val="004A1E14"/>
    <w:rsid w:val="004A45DE"/>
    <w:rsid w:val="004B32BC"/>
    <w:rsid w:val="004B4FEC"/>
    <w:rsid w:val="004B5CE2"/>
    <w:rsid w:val="004C3160"/>
    <w:rsid w:val="004C6292"/>
    <w:rsid w:val="004D3661"/>
    <w:rsid w:val="004D70A3"/>
    <w:rsid w:val="004E028C"/>
    <w:rsid w:val="004E04D9"/>
    <w:rsid w:val="004E2CA2"/>
    <w:rsid w:val="004E390E"/>
    <w:rsid w:val="004E429C"/>
    <w:rsid w:val="004F5BC7"/>
    <w:rsid w:val="00506FA6"/>
    <w:rsid w:val="0053263D"/>
    <w:rsid w:val="005355A5"/>
    <w:rsid w:val="00555792"/>
    <w:rsid w:val="0055626B"/>
    <w:rsid w:val="005701CE"/>
    <w:rsid w:val="00571B61"/>
    <w:rsid w:val="005A32CC"/>
    <w:rsid w:val="005A53B1"/>
    <w:rsid w:val="005B37E3"/>
    <w:rsid w:val="005C3D97"/>
    <w:rsid w:val="005D0559"/>
    <w:rsid w:val="005F2EE0"/>
    <w:rsid w:val="005F56D5"/>
    <w:rsid w:val="005F6435"/>
    <w:rsid w:val="00613309"/>
    <w:rsid w:val="00633F72"/>
    <w:rsid w:val="00633F92"/>
    <w:rsid w:val="00636059"/>
    <w:rsid w:val="00643073"/>
    <w:rsid w:val="006461D9"/>
    <w:rsid w:val="00646F06"/>
    <w:rsid w:val="006517BD"/>
    <w:rsid w:val="00653B6C"/>
    <w:rsid w:val="00665BC8"/>
    <w:rsid w:val="00672CDB"/>
    <w:rsid w:val="00677162"/>
    <w:rsid w:val="006850F6"/>
    <w:rsid w:val="00690010"/>
    <w:rsid w:val="006904B6"/>
    <w:rsid w:val="006919DC"/>
    <w:rsid w:val="00696FFF"/>
    <w:rsid w:val="006B6443"/>
    <w:rsid w:val="006C6789"/>
    <w:rsid w:val="006C7AF4"/>
    <w:rsid w:val="006D545A"/>
    <w:rsid w:val="006E16EF"/>
    <w:rsid w:val="006F0DAA"/>
    <w:rsid w:val="006F5E51"/>
    <w:rsid w:val="006F67DE"/>
    <w:rsid w:val="00700E8E"/>
    <w:rsid w:val="00701B46"/>
    <w:rsid w:val="0070630B"/>
    <w:rsid w:val="00723311"/>
    <w:rsid w:val="00727E20"/>
    <w:rsid w:val="00732C00"/>
    <w:rsid w:val="00734E5F"/>
    <w:rsid w:val="007552E8"/>
    <w:rsid w:val="00761A31"/>
    <w:rsid w:val="00765024"/>
    <w:rsid w:val="00776711"/>
    <w:rsid w:val="00796E13"/>
    <w:rsid w:val="007A17ED"/>
    <w:rsid w:val="007A1C93"/>
    <w:rsid w:val="007A33FB"/>
    <w:rsid w:val="007B67F4"/>
    <w:rsid w:val="007C7EAE"/>
    <w:rsid w:val="007D07C6"/>
    <w:rsid w:val="007D5AFF"/>
    <w:rsid w:val="008076F7"/>
    <w:rsid w:val="00811248"/>
    <w:rsid w:val="008153F7"/>
    <w:rsid w:val="0082699D"/>
    <w:rsid w:val="0083259F"/>
    <w:rsid w:val="0084074F"/>
    <w:rsid w:val="0084081D"/>
    <w:rsid w:val="00841380"/>
    <w:rsid w:val="008524F7"/>
    <w:rsid w:val="008713A8"/>
    <w:rsid w:val="008862F4"/>
    <w:rsid w:val="00895449"/>
    <w:rsid w:val="008958F1"/>
    <w:rsid w:val="00896125"/>
    <w:rsid w:val="008A52AE"/>
    <w:rsid w:val="008B0473"/>
    <w:rsid w:val="008B241C"/>
    <w:rsid w:val="008B73D9"/>
    <w:rsid w:val="008C778A"/>
    <w:rsid w:val="008D09BA"/>
    <w:rsid w:val="008D0E2D"/>
    <w:rsid w:val="008D6975"/>
    <w:rsid w:val="008E5B40"/>
    <w:rsid w:val="008E657F"/>
    <w:rsid w:val="00904D1E"/>
    <w:rsid w:val="00915A13"/>
    <w:rsid w:val="00922E86"/>
    <w:rsid w:val="00942DF2"/>
    <w:rsid w:val="00945D2C"/>
    <w:rsid w:val="009621C7"/>
    <w:rsid w:val="00971F7A"/>
    <w:rsid w:val="0097331A"/>
    <w:rsid w:val="009746F5"/>
    <w:rsid w:val="00981E32"/>
    <w:rsid w:val="00985342"/>
    <w:rsid w:val="00986481"/>
    <w:rsid w:val="009907C0"/>
    <w:rsid w:val="00995CB0"/>
    <w:rsid w:val="009A5CD2"/>
    <w:rsid w:val="009B4B6E"/>
    <w:rsid w:val="009C13BC"/>
    <w:rsid w:val="009C2175"/>
    <w:rsid w:val="009C53F8"/>
    <w:rsid w:val="009C6DAD"/>
    <w:rsid w:val="009D015F"/>
    <w:rsid w:val="009D615B"/>
    <w:rsid w:val="00A04B01"/>
    <w:rsid w:val="00A06B7F"/>
    <w:rsid w:val="00A203F5"/>
    <w:rsid w:val="00A41CCB"/>
    <w:rsid w:val="00A44B9B"/>
    <w:rsid w:val="00A465B3"/>
    <w:rsid w:val="00A61ACE"/>
    <w:rsid w:val="00A632A9"/>
    <w:rsid w:val="00A637DE"/>
    <w:rsid w:val="00A64A07"/>
    <w:rsid w:val="00A64CBF"/>
    <w:rsid w:val="00A66D29"/>
    <w:rsid w:val="00A67640"/>
    <w:rsid w:val="00A75C4A"/>
    <w:rsid w:val="00A83500"/>
    <w:rsid w:val="00AA17C7"/>
    <w:rsid w:val="00AB61B9"/>
    <w:rsid w:val="00AB62A0"/>
    <w:rsid w:val="00AC0874"/>
    <w:rsid w:val="00AC25AE"/>
    <w:rsid w:val="00AC3699"/>
    <w:rsid w:val="00AC7BF7"/>
    <w:rsid w:val="00AE057D"/>
    <w:rsid w:val="00AF35C8"/>
    <w:rsid w:val="00AF4932"/>
    <w:rsid w:val="00AF493B"/>
    <w:rsid w:val="00AF610D"/>
    <w:rsid w:val="00B06DB7"/>
    <w:rsid w:val="00B16A40"/>
    <w:rsid w:val="00B367D6"/>
    <w:rsid w:val="00B36D4D"/>
    <w:rsid w:val="00B4150B"/>
    <w:rsid w:val="00B4220F"/>
    <w:rsid w:val="00B42293"/>
    <w:rsid w:val="00B563D5"/>
    <w:rsid w:val="00B60038"/>
    <w:rsid w:val="00B6462B"/>
    <w:rsid w:val="00B70B81"/>
    <w:rsid w:val="00B71B9D"/>
    <w:rsid w:val="00B7264D"/>
    <w:rsid w:val="00B72BAF"/>
    <w:rsid w:val="00B766C5"/>
    <w:rsid w:val="00B86983"/>
    <w:rsid w:val="00B937ED"/>
    <w:rsid w:val="00BA0008"/>
    <w:rsid w:val="00BA79CC"/>
    <w:rsid w:val="00BB0DE1"/>
    <w:rsid w:val="00BB2C9B"/>
    <w:rsid w:val="00BB321D"/>
    <w:rsid w:val="00BD2438"/>
    <w:rsid w:val="00BD7ADF"/>
    <w:rsid w:val="00BF7CDA"/>
    <w:rsid w:val="00C04EF4"/>
    <w:rsid w:val="00C167C0"/>
    <w:rsid w:val="00C30E7F"/>
    <w:rsid w:val="00C374AD"/>
    <w:rsid w:val="00C4247C"/>
    <w:rsid w:val="00C44BF1"/>
    <w:rsid w:val="00C45A05"/>
    <w:rsid w:val="00C45CDC"/>
    <w:rsid w:val="00C519C9"/>
    <w:rsid w:val="00C614E3"/>
    <w:rsid w:val="00C62F1E"/>
    <w:rsid w:val="00C64910"/>
    <w:rsid w:val="00C7698F"/>
    <w:rsid w:val="00C838A2"/>
    <w:rsid w:val="00CA2865"/>
    <w:rsid w:val="00CB4173"/>
    <w:rsid w:val="00CB5B05"/>
    <w:rsid w:val="00CB6758"/>
    <w:rsid w:val="00CB7E82"/>
    <w:rsid w:val="00CC3FF5"/>
    <w:rsid w:val="00CC7B40"/>
    <w:rsid w:val="00CD4C8E"/>
    <w:rsid w:val="00CE7C71"/>
    <w:rsid w:val="00CF09B1"/>
    <w:rsid w:val="00CF1D41"/>
    <w:rsid w:val="00CF5E8C"/>
    <w:rsid w:val="00D05D6B"/>
    <w:rsid w:val="00D11FA2"/>
    <w:rsid w:val="00D176FA"/>
    <w:rsid w:val="00D20DA0"/>
    <w:rsid w:val="00D31B88"/>
    <w:rsid w:val="00D503E3"/>
    <w:rsid w:val="00D64368"/>
    <w:rsid w:val="00D64DD6"/>
    <w:rsid w:val="00D65BFA"/>
    <w:rsid w:val="00D7453B"/>
    <w:rsid w:val="00D75065"/>
    <w:rsid w:val="00D86A0C"/>
    <w:rsid w:val="00D910C9"/>
    <w:rsid w:val="00DA49D1"/>
    <w:rsid w:val="00DB7826"/>
    <w:rsid w:val="00DD1692"/>
    <w:rsid w:val="00DD3523"/>
    <w:rsid w:val="00DD6274"/>
    <w:rsid w:val="00E02F7E"/>
    <w:rsid w:val="00E1039B"/>
    <w:rsid w:val="00E13BED"/>
    <w:rsid w:val="00E14165"/>
    <w:rsid w:val="00E2431C"/>
    <w:rsid w:val="00E3395B"/>
    <w:rsid w:val="00E50A18"/>
    <w:rsid w:val="00E562A8"/>
    <w:rsid w:val="00E62529"/>
    <w:rsid w:val="00E636DF"/>
    <w:rsid w:val="00E65D6F"/>
    <w:rsid w:val="00E71C69"/>
    <w:rsid w:val="00E84A11"/>
    <w:rsid w:val="00E876AD"/>
    <w:rsid w:val="00E96E76"/>
    <w:rsid w:val="00EA4DAB"/>
    <w:rsid w:val="00EB0045"/>
    <w:rsid w:val="00EB26C3"/>
    <w:rsid w:val="00EB43B5"/>
    <w:rsid w:val="00EB5492"/>
    <w:rsid w:val="00EC1379"/>
    <w:rsid w:val="00EC31D4"/>
    <w:rsid w:val="00EC5101"/>
    <w:rsid w:val="00ED104D"/>
    <w:rsid w:val="00EE0FBD"/>
    <w:rsid w:val="00EE1F0C"/>
    <w:rsid w:val="00EF3521"/>
    <w:rsid w:val="00F04F3B"/>
    <w:rsid w:val="00F06D0C"/>
    <w:rsid w:val="00F106F5"/>
    <w:rsid w:val="00F13321"/>
    <w:rsid w:val="00F17FD2"/>
    <w:rsid w:val="00F232D9"/>
    <w:rsid w:val="00F23C1E"/>
    <w:rsid w:val="00F45C77"/>
    <w:rsid w:val="00F462CE"/>
    <w:rsid w:val="00F47108"/>
    <w:rsid w:val="00F51354"/>
    <w:rsid w:val="00F51580"/>
    <w:rsid w:val="00F574A9"/>
    <w:rsid w:val="00F7213B"/>
    <w:rsid w:val="00F761EA"/>
    <w:rsid w:val="00F81772"/>
    <w:rsid w:val="00F82D5B"/>
    <w:rsid w:val="00F83848"/>
    <w:rsid w:val="00F8786B"/>
    <w:rsid w:val="00FA4BF9"/>
    <w:rsid w:val="00FB5C25"/>
    <w:rsid w:val="00FB66C5"/>
    <w:rsid w:val="00FC013B"/>
    <w:rsid w:val="00FD2C4B"/>
    <w:rsid w:val="00FD70F9"/>
    <w:rsid w:val="00FE6BAC"/>
    <w:rsid w:val="00FF09EB"/>
    <w:rsid w:val="00FF7E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E2ED89-F485-4362-BD0B-6AB35F29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Arial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3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3B5"/>
  </w:style>
  <w:style w:type="paragraph" w:styleId="Footer">
    <w:name w:val="footer"/>
    <w:basedOn w:val="Normal"/>
    <w:link w:val="FooterChar"/>
    <w:uiPriority w:val="99"/>
    <w:unhideWhenUsed/>
    <w:rsid w:val="00EB43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3B5"/>
  </w:style>
  <w:style w:type="paragraph" w:styleId="BalloonText">
    <w:name w:val="Balloon Text"/>
    <w:basedOn w:val="Normal"/>
    <w:link w:val="BalloonTextChar"/>
    <w:uiPriority w:val="99"/>
    <w:semiHidden/>
    <w:unhideWhenUsed/>
    <w:rsid w:val="00EB43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B43B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808BE"/>
    <w:pPr>
      <w:ind w:left="720"/>
      <w:contextualSpacing/>
    </w:pPr>
  </w:style>
  <w:style w:type="paragraph" w:customStyle="1" w:styleId="Default">
    <w:name w:val="Default"/>
    <w:rsid w:val="004B4FE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3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3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309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3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309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8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HCRuser\AppData\Roaming\Microsoft\Templates\UNHCR%20gener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BC177-7EAA-4099-BD0E-27CDE0A4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UNHCR general template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UNHCRuser</dc:creator>
  <cp:lastModifiedBy>Josep Zapater</cp:lastModifiedBy>
  <cp:revision>2</cp:revision>
  <cp:lastPrinted>2017-10-12T17:44:00Z</cp:lastPrinted>
  <dcterms:created xsi:type="dcterms:W3CDTF">2018-03-06T18:13:00Z</dcterms:created>
  <dcterms:modified xsi:type="dcterms:W3CDTF">2018-03-06T18:13:00Z</dcterms:modified>
</cp:coreProperties>
</file>