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7156E" w14:textId="02A70584" w:rsidR="00954110" w:rsidRPr="000A1C1A" w:rsidRDefault="008205EB" w:rsidP="00954110">
      <w:pPr>
        <w:pStyle w:val="Title"/>
        <w:rPr>
          <w:rFonts w:ascii="Maiandra GD" w:hAnsi="Maiandra GD"/>
          <w:lang w:val="en-GB"/>
        </w:rPr>
      </w:pPr>
      <w:r w:rsidRPr="008205EB">
        <w:rPr>
          <w:rFonts w:ascii="Maiandra GD" w:hAnsi="Maiandra GD"/>
          <w:lang w:val="en-GB"/>
        </w:rPr>
        <w:t>DATA MANAGEMENT WORKING GROUP MEETING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82"/>
        <w:gridCol w:w="2231"/>
        <w:gridCol w:w="3240"/>
      </w:tblGrid>
      <w:tr w:rsidR="00E43BAB" w:rsidRPr="000A1C1A" w14:paraId="788D1AAF" w14:textId="77777777" w:rsidTr="00367EE6">
        <w:trPr>
          <w:cantSplit/>
        </w:trPr>
        <w:tc>
          <w:tcPr>
            <w:tcW w:w="2127" w:type="dxa"/>
            <w:shd w:val="clear" w:color="auto" w:fill="auto"/>
            <w:tcMar>
              <w:left w:w="0" w:type="dxa"/>
            </w:tcMar>
            <w:vAlign w:val="center"/>
          </w:tcPr>
          <w:p w14:paraId="5C4DFD05" w14:textId="77777777" w:rsidR="00E43BAB" w:rsidRPr="000A1C1A" w:rsidRDefault="00E43BAB" w:rsidP="00954110">
            <w:pPr>
              <w:pStyle w:val="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Minutes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GB"/>
            </w:rPr>
            <w:alias w:val="Date"/>
            <w:tag w:val="Date"/>
            <w:id w:val="48425581"/>
            <w:placeholder>
              <w:docPart w:val="2D88D9A0920540758395D268D440313C"/>
            </w:placeholder>
            <w:date w:fullDate="2019-07-26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36F07D69" w14:textId="1D1C97E7" w:rsidR="00E43BAB" w:rsidRPr="000A1C1A" w:rsidRDefault="000918DE" w:rsidP="00F62D0F">
                <w:pPr>
                  <w:pStyle w:val="Details"/>
                  <w:jc w:val="center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July</w:t>
                </w:r>
                <w:r w:rsidR="00B965C8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26</w:t>
                </w:r>
                <w:r w:rsidR="00B965C8">
                  <w:rPr>
                    <w:rFonts w:ascii="Times New Roman" w:hAnsi="Times New Roman"/>
                    <w:sz w:val="24"/>
                    <w:szCs w:val="24"/>
                  </w:rPr>
                  <w:t>, 2019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14:paraId="430801C2" w14:textId="0174EFC8" w:rsidR="00E43BAB" w:rsidRPr="000A1C1A" w:rsidRDefault="00F62D0F" w:rsidP="00F62D0F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0918DE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:00-1</w:t>
            </w:r>
            <w:r w:rsidR="000918DE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14:paraId="25383670" w14:textId="6CC91586" w:rsidR="00E43BAB" w:rsidRPr="000A1C1A" w:rsidRDefault="000918DE" w:rsidP="00B92F10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UNHCR</w:t>
            </w:r>
            <w:r w:rsidR="008615EB" w:rsidRPr="003362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BOARDROOM</w:t>
            </w:r>
          </w:p>
        </w:tc>
      </w:tr>
    </w:tbl>
    <w:p w14:paraId="5845AE06" w14:textId="77777777" w:rsidR="00954110" w:rsidRPr="000A1C1A" w:rsidRDefault="0095411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942"/>
      </w:tblGrid>
      <w:tr w:rsidR="0085168B" w:rsidRPr="000A1C1A" w14:paraId="37F9DE76" w14:textId="77777777" w:rsidTr="00367EE6">
        <w:trPr>
          <w:trHeight w:val="360"/>
        </w:trPr>
        <w:tc>
          <w:tcPr>
            <w:tcW w:w="213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1FF2A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Meeting called by</w:t>
            </w:r>
          </w:p>
        </w:tc>
        <w:tc>
          <w:tcPr>
            <w:tcW w:w="7958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D169FB7" w14:textId="72B14DB4" w:rsidR="0085168B" w:rsidRPr="000A1C1A" w:rsidRDefault="00B965C8" w:rsidP="00B965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965C8">
              <w:rPr>
                <w:rFonts w:ascii="Times New Roman" w:hAnsi="Times New Roman"/>
                <w:sz w:val="24"/>
                <w:szCs w:val="24"/>
                <w:lang w:val="en-GB"/>
              </w:rPr>
              <w:t>GODFREY NABONGO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14:paraId="6D6A4638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07D82A70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Type of meeting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AE0CECD" w14:textId="6A1147B0" w:rsidR="0085168B" w:rsidRPr="000A1C1A" w:rsidRDefault="000A1C1A" w:rsidP="00D41BCE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D41BCE">
              <w:rPr>
                <w:rFonts w:ascii="Times New Roman" w:hAnsi="Times New Roman"/>
                <w:sz w:val="24"/>
                <w:szCs w:val="24"/>
                <w:lang w:val="en-GB"/>
              </w:rPr>
              <w:t>DATA MANAGEMENT - CORDINATION</w:t>
            </w:r>
          </w:p>
        </w:tc>
      </w:tr>
      <w:tr w:rsidR="0085168B" w:rsidRPr="000A1C1A" w14:paraId="781018C6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2114B194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Facilitator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31ED4F83" w14:textId="77777777" w:rsidR="0085168B" w:rsidRPr="000A1C1A" w:rsidRDefault="009979A8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14:paraId="064A6906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1C934903" w14:textId="77777777" w:rsidR="0085168B" w:rsidRPr="000A1C1A" w:rsidRDefault="0085168B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Note take</w:t>
            </w:r>
            <w:r w:rsidR="00E60E4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5964ACEA" w14:textId="77777777" w:rsidR="0085168B" w:rsidRPr="000A1C1A" w:rsidRDefault="00AF194A" w:rsidP="00AF19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HILLARY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MUMBERE</w:t>
            </w:r>
          </w:p>
        </w:tc>
      </w:tr>
      <w:tr w:rsidR="0085168B" w:rsidRPr="000A1C1A" w14:paraId="667ADBDE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6FABC0C0" w14:textId="77777777" w:rsidR="0085168B" w:rsidRPr="000A1C1A" w:rsidRDefault="00E71DBA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Attendees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2B0E8115" w14:textId="4113A33B" w:rsidR="00F63C83" w:rsidRPr="000A1C1A" w:rsidRDefault="00011726" w:rsidP="0001172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XABIER GOIRIA (FAO), SIMONA SIMKUTE (DRC), </w:t>
            </w:r>
            <w:r w:rsidR="002B618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TAMAMI YOSHIMOTO (UNDP), MWESIGWA </w:t>
            </w:r>
            <w:r w:rsidR="005D3887" w:rsidRPr="005D3887">
              <w:rPr>
                <w:rFonts w:ascii="Times New Roman" w:hAnsi="Times New Roman"/>
                <w:sz w:val="24"/>
                <w:szCs w:val="24"/>
                <w:lang w:val="en-GB"/>
              </w:rPr>
              <w:t>TUMWESIGYE</w:t>
            </w:r>
            <w:r w:rsid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2B618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(DRC), </w:t>
            </w:r>
            <w:r w:rsidR="002B6182" w:rsidRPr="002B6182">
              <w:rPr>
                <w:rFonts w:ascii="Times New Roman" w:hAnsi="Times New Roman"/>
                <w:sz w:val="24"/>
                <w:szCs w:val="24"/>
                <w:lang w:val="en-GB"/>
              </w:rPr>
              <w:t>RUBEN FERNANDEZ</w:t>
            </w:r>
            <w:r w:rsidR="002B618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(HOT), KIGUDDE</w:t>
            </w:r>
            <w:r w:rsidR="0099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DEOGRATIUS (HOT), SARAH AMADI (HOT), </w:t>
            </w:r>
            <w:r w:rsidR="005D3887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ORACH GEORGE (DRC), DENNIS TUMUSIIME (WFP), </w:t>
            </w:r>
            <w:r w:rsidR="00417E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BO </w:t>
            </w:r>
            <w:r w:rsidR="00F63C83">
              <w:rPr>
                <w:rFonts w:ascii="Times New Roman" w:hAnsi="Times New Roman"/>
                <w:sz w:val="24"/>
                <w:szCs w:val="24"/>
                <w:lang w:val="en-GB"/>
              </w:rPr>
              <w:t>HURKMANS (UNHCR),</w:t>
            </w:r>
            <w:r w:rsidR="00F63C8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HI</w:t>
            </w:r>
            <w:r w:rsidR="00F63C83"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="00F63C8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LARY MUMBERE (UNHCR</w:t>
            </w:r>
            <w:r w:rsidR="005D3887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9949E6">
              <w:rPr>
                <w:rFonts w:ascii="Times New Roman" w:hAnsi="Times New Roman"/>
                <w:sz w:val="24"/>
                <w:szCs w:val="24"/>
                <w:lang w:val="en-GB"/>
              </w:rPr>
              <w:t>, NAKASI CATHY (AVSI), NALWOGA YVONNE (AVSI), PAUL KIGGWE (WVI), FAITH KIRUNGI</w:t>
            </w:r>
            <w:r w:rsidR="00AB5F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(LWF)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7E3C0E" w14:paraId="5D58FB42" w14:textId="77777777" w:rsidTr="00172820">
        <w:tc>
          <w:tcPr>
            <w:tcW w:w="2127" w:type="dxa"/>
          </w:tcPr>
          <w:p w14:paraId="52CDA27E" w14:textId="7C4DBF9B" w:rsidR="007E3C0E" w:rsidRDefault="007E3C0E" w:rsidP="00172820">
            <w:pPr>
              <w:pStyle w:val="Heading2"/>
              <w:rPr>
                <w:rFonts w:ascii="Times New Roman" w:hAnsi="Times New Roman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Cs w:val="24"/>
                <w:lang w:val="en-GB"/>
              </w:rPr>
              <w:t>Agenda topics</w:t>
            </w:r>
            <w:r>
              <w:rPr>
                <w:rFonts w:ascii="Times New Roman" w:hAnsi="Times New Roman"/>
                <w:szCs w:val="24"/>
                <w:lang w:val="en-GB"/>
              </w:rPr>
              <w:t>:</w:t>
            </w:r>
          </w:p>
        </w:tc>
        <w:tc>
          <w:tcPr>
            <w:tcW w:w="7938" w:type="dxa"/>
            <w:vAlign w:val="center"/>
          </w:tcPr>
          <w:p w14:paraId="096ECCCD" w14:textId="6B4079B7" w:rsidR="007E3C0E" w:rsidRPr="007E3C0E" w:rsidRDefault="007E3C0E" w:rsidP="00172820">
            <w:pPr>
              <w:pStyle w:val="Heading2"/>
              <w:numPr>
                <w:ilvl w:val="0"/>
                <w:numId w:val="41"/>
              </w:numPr>
              <w:spacing w:after="0"/>
              <w:ind w:left="320" w:hanging="320"/>
              <w:rPr>
                <w:rFonts w:ascii="Times New Roman" w:hAnsi="Times New Roman"/>
                <w:szCs w:val="24"/>
                <w:lang w:val="en-GB"/>
              </w:rPr>
            </w:pPr>
            <w:r w:rsidRPr="007E3C0E">
              <w:rPr>
                <w:rFonts w:ascii="Times New Roman" w:hAnsi="Times New Roman"/>
                <w:szCs w:val="24"/>
                <w:lang w:val="en-GB"/>
              </w:rPr>
              <w:t>Changes to ActivityInfo in light of Q1 feedback</w:t>
            </w:r>
          </w:p>
          <w:p w14:paraId="44F69A75" w14:textId="70F8B6B2" w:rsidR="007E3C0E" w:rsidRDefault="007E3C0E" w:rsidP="00172820">
            <w:pPr>
              <w:pStyle w:val="Heading2"/>
              <w:numPr>
                <w:ilvl w:val="0"/>
                <w:numId w:val="41"/>
              </w:numPr>
              <w:spacing w:before="0" w:after="0"/>
              <w:ind w:left="320" w:hanging="320"/>
              <w:rPr>
                <w:rFonts w:ascii="Times New Roman" w:hAnsi="Times New Roman"/>
                <w:szCs w:val="24"/>
                <w:lang w:val="en-GB"/>
              </w:rPr>
            </w:pPr>
            <w:r w:rsidRPr="007E3C0E">
              <w:rPr>
                <w:rFonts w:ascii="Times New Roman" w:hAnsi="Times New Roman"/>
                <w:szCs w:val="24"/>
                <w:lang w:val="en-GB"/>
              </w:rPr>
              <w:t>Session of the GIS Sub-Working Group</w:t>
            </w:r>
            <w:r w:rsidR="00172820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proofErr w:type="spellStart"/>
            <w:r w:rsidR="00172820">
              <w:rPr>
                <w:rFonts w:ascii="Times New Roman" w:hAnsi="Times New Roman"/>
                <w:szCs w:val="24"/>
                <w:lang w:val="en-GB"/>
              </w:rPr>
              <w:t>i.e</w:t>
            </w:r>
            <w:proofErr w:type="spellEnd"/>
            <w:r w:rsidR="00172820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172820">
              <w:rPr>
                <w:rFonts w:ascii="Times New Roman" w:hAnsi="Times New Roman"/>
                <w:szCs w:val="24"/>
                <w:lang w:val="en-GB"/>
              </w:rPr>
              <w:t>Presentation on</w:t>
            </w:r>
            <w:r w:rsidR="00172820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proofErr w:type="spellStart"/>
            <w:r w:rsidRPr="00172820">
              <w:rPr>
                <w:rFonts w:ascii="Times New Roman" w:hAnsi="Times New Roman"/>
                <w:szCs w:val="24"/>
                <w:lang w:val="en-GB"/>
              </w:rPr>
              <w:t>OpenStreetMap</w:t>
            </w:r>
            <w:proofErr w:type="spellEnd"/>
            <w:r w:rsidRPr="00172820">
              <w:rPr>
                <w:rFonts w:ascii="Times New Roman" w:hAnsi="Times New Roman"/>
                <w:szCs w:val="24"/>
                <w:lang w:val="en-GB"/>
              </w:rPr>
              <w:t xml:space="preserve"> by HOT</w:t>
            </w:r>
            <w:r w:rsidR="00172820">
              <w:rPr>
                <w:rFonts w:ascii="Times New Roman" w:hAnsi="Times New Roman"/>
                <w:szCs w:val="24"/>
                <w:lang w:val="en-GB"/>
              </w:rPr>
              <w:t xml:space="preserve"> and </w:t>
            </w:r>
            <w:r w:rsidR="005D3887">
              <w:rPr>
                <w:rFonts w:ascii="Times New Roman" w:hAnsi="Times New Roman"/>
                <w:szCs w:val="24"/>
                <w:lang w:val="en-GB"/>
              </w:rPr>
              <w:t>Update</w:t>
            </w:r>
            <w:r w:rsidRPr="00172820">
              <w:rPr>
                <w:rFonts w:ascii="Times New Roman" w:hAnsi="Times New Roman"/>
                <w:szCs w:val="24"/>
                <w:lang w:val="en-GB"/>
              </w:rPr>
              <w:t xml:space="preserve"> on common operational datasets / discussion on coding to use</w:t>
            </w:r>
          </w:p>
          <w:p w14:paraId="4390650D" w14:textId="7179EC6A" w:rsidR="00172820" w:rsidRPr="007E3C0E" w:rsidRDefault="005D3887" w:rsidP="00172820">
            <w:pPr>
              <w:pStyle w:val="Heading2"/>
              <w:numPr>
                <w:ilvl w:val="0"/>
                <w:numId w:val="41"/>
              </w:numPr>
              <w:spacing w:before="0"/>
              <w:ind w:left="320" w:hanging="320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Update</w:t>
            </w:r>
            <w:r w:rsidR="00172820" w:rsidRPr="007E3C0E">
              <w:rPr>
                <w:rFonts w:ascii="Times New Roman" w:hAnsi="Times New Roman"/>
                <w:szCs w:val="24"/>
                <w:lang w:val="en-GB"/>
              </w:rPr>
              <w:t xml:space="preserve"> from the Assessment 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Technical </w:t>
            </w:r>
            <w:r w:rsidR="00172820" w:rsidRPr="007E3C0E">
              <w:rPr>
                <w:rFonts w:ascii="Times New Roman" w:hAnsi="Times New Roman"/>
                <w:szCs w:val="24"/>
                <w:lang w:val="en-GB"/>
              </w:rPr>
              <w:t>Working Group</w:t>
            </w:r>
          </w:p>
          <w:p w14:paraId="35DF94B7" w14:textId="07403324" w:rsidR="00172820" w:rsidRPr="00172820" w:rsidRDefault="00172820" w:rsidP="00172820">
            <w:pPr>
              <w:rPr>
                <w:lang w:val="en-GB"/>
              </w:rPr>
            </w:pPr>
          </w:p>
        </w:tc>
      </w:tr>
    </w:tbl>
    <w:tbl>
      <w:tblPr>
        <w:tblW w:w="501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75"/>
        <w:gridCol w:w="2706"/>
        <w:gridCol w:w="1487"/>
      </w:tblGrid>
      <w:tr w:rsidR="00E71DBA" w:rsidRPr="000A1C1A" w14:paraId="0F4FD9B8" w14:textId="77777777" w:rsidTr="00AA7643">
        <w:trPr>
          <w:trHeight w:val="288"/>
        </w:trPr>
        <w:tc>
          <w:tcPr>
            <w:tcW w:w="212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64EFF7" w14:textId="77777777" w:rsidR="00E71DBA" w:rsidRPr="000A1C1A" w:rsidRDefault="00BD05B7" w:rsidP="00BD05B7">
            <w:pPr>
              <w:pStyle w:val="Heading3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MinuteItems"/>
            <w:bookmarkStart w:id="1" w:name="MinuteTopic"/>
            <w:bookmarkStart w:id="2" w:name="MinuteDiscussion"/>
            <w:bookmarkStart w:id="3" w:name="MinuteTopicSection"/>
            <w:bookmarkEnd w:id="0"/>
            <w:bookmarkEnd w:id="1"/>
            <w:bookmarkEnd w:id="2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7968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F56C853" w14:textId="77777777" w:rsidR="00E71DBA" w:rsidRPr="000A1C1A" w:rsidRDefault="00E71DBA" w:rsidP="005052C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168B" w:rsidRPr="000A1C1A" w14:paraId="204C31C9" w14:textId="77777777" w:rsidTr="00AA7643">
        <w:trPr>
          <w:trHeight w:val="288"/>
        </w:trPr>
        <w:tc>
          <w:tcPr>
            <w:tcW w:w="10092" w:type="dxa"/>
            <w:gridSpan w:val="4"/>
            <w:shd w:val="clear" w:color="auto" w:fill="auto"/>
            <w:vAlign w:val="center"/>
          </w:tcPr>
          <w:p w14:paraId="52A60EBA" w14:textId="5C095F87" w:rsidR="00CA32FC" w:rsidRDefault="00626C4D" w:rsidP="00D7749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26C4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Changes to ActivityInfo in light of Q1 feedback</w:t>
            </w:r>
          </w:p>
          <w:p w14:paraId="53EB7B9D" w14:textId="6507CC22" w:rsidR="005D3887" w:rsidRPr="005D3887" w:rsidRDefault="005D3887" w:rsidP="005D3887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Funding source: option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added for </w:t>
            </w: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>“Funds from multiple donors”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donors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can be specified in existing </w:t>
            </w: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>text field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below the dropdown</w:t>
            </w: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0BF21C9E" w14:textId="772F33CD" w:rsidR="005D3887" w:rsidRPr="005D3887" w:rsidRDefault="005D3887" w:rsidP="005D3887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>Import: partners that want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ed</w:t>
            </w: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utilise import templates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were advised to</w:t>
            </w: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reach out to the relevant IM focal point for support.</w:t>
            </w:r>
          </w:p>
          <w:p w14:paraId="6F8DFA81" w14:textId="68E33E8D" w:rsidR="005D3887" w:rsidRPr="005D3887" w:rsidRDefault="005D3887" w:rsidP="005D3887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>Locations: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partners were advised that a</w:t>
            </w:r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 of 1 July 2019 </w:t>
            </w:r>
            <w:proofErr w:type="spellStart"/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>Palorinya</w:t>
            </w:r>
            <w:proofErr w:type="spellEnd"/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settlement and reception centre fall under </w:t>
            </w:r>
            <w:proofErr w:type="spellStart"/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>Obongi</w:t>
            </w:r>
            <w:proofErr w:type="spellEnd"/>
            <w:r w:rsidRPr="005D3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district.</w:t>
            </w:r>
          </w:p>
          <w:p w14:paraId="6E45958C" w14:textId="70E38375" w:rsidR="005D3887" w:rsidRDefault="005D3887" w:rsidP="00F77A24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Sector-specific changes can be found in the full overview, which is </w:t>
            </w:r>
            <w:hyperlink r:id="rId9" w:history="1">
              <w:r w:rsidRPr="005D3887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available online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69EDA588" w14:textId="1FB10DEB" w:rsidR="004B1F8B" w:rsidRPr="00F77A24" w:rsidRDefault="00F77A24" w:rsidP="00F77A24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was suggested </w:t>
            </w:r>
            <w:r w:rsidR="005C24B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that </w:t>
            </w:r>
            <w:r w:rsidR="005D3887">
              <w:rPr>
                <w:rFonts w:ascii="Times New Roman" w:hAnsi="Times New Roman"/>
                <w:sz w:val="24"/>
                <w:szCs w:val="24"/>
                <w:lang w:val="en-GB"/>
              </w:rPr>
              <w:t>more ways of how 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ctivity</w:t>
            </w:r>
            <w:r w:rsidR="005D3887">
              <w:rPr>
                <w:rFonts w:ascii="Times New Roman" w:hAnsi="Times New Roman"/>
                <w:sz w:val="24"/>
                <w:szCs w:val="24"/>
                <w:lang w:val="en-GB"/>
              </w:rPr>
              <w:t>Info data 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ould be </w:t>
            </w:r>
            <w:r w:rsidR="00B90FBE">
              <w:rPr>
                <w:rFonts w:ascii="Times New Roman" w:hAnsi="Times New Roman"/>
                <w:sz w:val="24"/>
                <w:szCs w:val="24"/>
                <w:lang w:val="en-GB"/>
              </w:rPr>
              <w:t>utilised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by partners should be </w:t>
            </w:r>
            <w:r w:rsidR="00D01964">
              <w:rPr>
                <w:rFonts w:ascii="Times New Roman" w:hAnsi="Times New Roman"/>
                <w:sz w:val="24"/>
                <w:szCs w:val="24"/>
                <w:lang w:val="en-GB"/>
              </w:rPr>
              <w:t>identified</w:t>
            </w:r>
            <w:r w:rsidR="005D388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F77A2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4D698B87" w14:textId="385EF391" w:rsidR="00D7749C" w:rsidRPr="009F5807" w:rsidRDefault="00D7749C" w:rsidP="00D7749C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9F2D827" w14:textId="274EADD1" w:rsidR="004A49F1" w:rsidRPr="004A49F1" w:rsidRDefault="00626C4D" w:rsidP="00B37EDB">
            <w:pPr>
              <w:pStyle w:val="ListParagraph"/>
              <w:numPr>
                <w:ilvl w:val="0"/>
                <w:numId w:val="32"/>
              </w:numPr>
              <w:spacing w:before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26C4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Session of the GIS Sub-Working Group</w:t>
            </w:r>
          </w:p>
          <w:p w14:paraId="04FBE748" w14:textId="746673C2" w:rsidR="00C233EA" w:rsidRDefault="004B1F8B" w:rsidP="00786C72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HOT made a presentation detailing their activities</w:t>
            </w:r>
            <w:r w:rsidR="00B1423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49C75FE9" w14:textId="231202A3" w:rsidR="00A544E2" w:rsidRDefault="00B1423F" w:rsidP="00C233EA">
            <w:pPr>
              <w:pStyle w:val="ListParagraph"/>
              <w:spacing w:after="240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was suggested that HOT should be linked to the</w:t>
            </w:r>
            <w:r w:rsidR="00FB0F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upcoming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007E8" w:rsidRPr="005007E8">
              <w:rPr>
                <w:rFonts w:ascii="Times New Roman" w:hAnsi="Times New Roman"/>
                <w:sz w:val="24"/>
                <w:szCs w:val="24"/>
                <w:lang w:val="en-GB"/>
              </w:rPr>
              <w:t>Vulnerability and Essential Needs Assessment (VENA)</w:t>
            </w:r>
            <w:r w:rsidR="005007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325E5">
              <w:rPr>
                <w:rFonts w:ascii="Times New Roman" w:hAnsi="Times New Roman"/>
                <w:sz w:val="24"/>
                <w:szCs w:val="24"/>
                <w:lang w:val="en-GB"/>
              </w:rPr>
              <w:t>to support with GIS tasks of the assessment.</w:t>
            </w:r>
          </w:p>
          <w:p w14:paraId="19BD4C40" w14:textId="02BC8761" w:rsidR="007A5FFD" w:rsidRDefault="005D3887" w:rsidP="00BE32BE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There was a </w:t>
            </w:r>
            <w:r w:rsidR="007E07A7">
              <w:rPr>
                <w:rFonts w:ascii="Times New Roman" w:hAnsi="Times New Roman"/>
                <w:sz w:val="24"/>
                <w:szCs w:val="24"/>
                <w:lang w:val="en-GB"/>
              </w:rPr>
              <w:t>general understanding of P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-codes</w:t>
            </w:r>
            <w:r w:rsidR="007E07A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their importance</w:t>
            </w:r>
            <w:r w:rsidR="008406E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Since there is a difference between the UNHCR and UBOS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P-codes</w:t>
            </w:r>
            <w:r w:rsidR="008406E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it was suggested </w:t>
            </w:r>
            <w:r w:rsidR="00C233EA">
              <w:rPr>
                <w:rFonts w:ascii="Times New Roman" w:hAnsi="Times New Roman"/>
                <w:sz w:val="24"/>
                <w:szCs w:val="24"/>
                <w:lang w:val="en-GB"/>
              </w:rPr>
              <w:t>that an option of using both should be explored through matching</w:t>
            </w:r>
            <w:r w:rsidR="008406E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</w:t>
            </w:r>
            <w:r w:rsidR="00C233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comparison</w:t>
            </w:r>
            <w:r w:rsidR="008406E0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A8C920E" w14:textId="0EA7DE09" w:rsidR="00F97F6C" w:rsidRDefault="00F97F6C" w:rsidP="00BE32BE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Regarding the GIS Inventory, </w:t>
            </w:r>
            <w:r w:rsidR="00E819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was suggested that the </w:t>
            </w:r>
            <w:r w:rsidR="00C233EA">
              <w:rPr>
                <w:rFonts w:ascii="Times New Roman" w:hAnsi="Times New Roman"/>
                <w:sz w:val="24"/>
                <w:szCs w:val="24"/>
                <w:lang w:val="en-GB"/>
              </w:rPr>
              <w:t>option</w:t>
            </w:r>
            <w:r w:rsidR="00E819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overwriting the records should be looked into.</w:t>
            </w:r>
          </w:p>
          <w:p w14:paraId="3F79BC51" w14:textId="77777777" w:rsidR="00370B2C" w:rsidRDefault="00E819AE" w:rsidP="00F06028">
            <w:pPr>
              <w:pStyle w:val="ListParagraph"/>
              <w:numPr>
                <w:ilvl w:val="0"/>
                <w:numId w:val="44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Common </w:t>
            </w:r>
            <w:r w:rsid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Operational Datasets (CODs)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Fundamental Operational Datasets </w:t>
            </w:r>
            <w:r w:rsidR="00F06028">
              <w:rPr>
                <w:rFonts w:ascii="Times New Roman" w:hAnsi="Times New Roman"/>
                <w:sz w:val="24"/>
                <w:szCs w:val="24"/>
                <w:lang w:val="en-GB"/>
              </w:rPr>
              <w:t>(FODs) were discussed.</w:t>
            </w:r>
          </w:p>
          <w:p w14:paraId="3724DD60" w14:textId="77777777" w:rsidR="00370B2C" w:rsidRDefault="00F06028" w:rsidP="00370B2C">
            <w:pPr>
              <w:pStyle w:val="ListParagraph"/>
              <w:numPr>
                <w:ilvl w:val="2"/>
                <w:numId w:val="44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Six</w:t>
            </w:r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new district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 became optional on 1 July 2019, but o</w:t>
            </w:r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nly </w:t>
            </w:r>
            <w:proofErr w:type="spellStart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Obongi</w:t>
            </w:r>
            <w:proofErr w:type="spellEnd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from </w:t>
            </w:r>
            <w:proofErr w:type="spellStart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Moyo</w:t>
            </w:r>
            <w:proofErr w:type="spellEnd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Madi</w:t>
            </w:r>
            <w:proofErr w:type="spellEnd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Okollo</w:t>
            </w:r>
            <w:proofErr w:type="spellEnd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from </w:t>
            </w:r>
            <w:proofErr w:type="spellStart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Arua</w:t>
            </w:r>
            <w:proofErr w:type="spellEnd"/>
            <w:r w:rsidR="00986E2A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host refugee settlements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39891C24" w14:textId="6343A3D8" w:rsidR="00F06028" w:rsidRPr="00370B2C" w:rsidRDefault="00986E2A" w:rsidP="00370B2C">
            <w:pPr>
              <w:pStyle w:val="ListParagraph"/>
              <w:numPr>
                <w:ilvl w:val="2"/>
                <w:numId w:val="44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06028">
              <w:rPr>
                <w:rFonts w:ascii="Times New Roman" w:hAnsi="Times New Roman"/>
                <w:sz w:val="24"/>
                <w:szCs w:val="24"/>
                <w:lang w:val="en-GB"/>
              </w:rPr>
              <w:t>Kabingo</w:t>
            </w:r>
            <w:proofErr w:type="spellEnd"/>
            <w:r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border point in </w:t>
            </w:r>
            <w:proofErr w:type="spellStart"/>
            <w:r w:rsidRPr="00F06028">
              <w:rPr>
                <w:rFonts w:ascii="Times New Roman" w:hAnsi="Times New Roman"/>
                <w:sz w:val="24"/>
                <w:szCs w:val="24"/>
                <w:lang w:val="en-GB"/>
              </w:rPr>
              <w:t>Kanungu</w:t>
            </w:r>
            <w:proofErr w:type="spellEnd"/>
            <w:r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district</w:t>
            </w:r>
            <w:r w:rsid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has been added to the list and it was proposed to look at merging data </w:t>
            </w:r>
            <w:r w:rsidR="00F06028">
              <w:rPr>
                <w:rFonts w:ascii="Times New Roman" w:hAnsi="Times New Roman"/>
                <w:sz w:val="24"/>
                <w:szCs w:val="24"/>
              </w:rPr>
              <w:t>from HOT and IOM.</w:t>
            </w:r>
          </w:p>
          <w:p w14:paraId="34F1760D" w14:textId="69F8E6A1" w:rsidR="00370B2C" w:rsidRPr="00F06028" w:rsidRDefault="00370B2C" w:rsidP="00370B2C">
            <w:pPr>
              <w:pStyle w:val="ListParagraph"/>
              <w:numPr>
                <w:ilvl w:val="2"/>
                <w:numId w:val="44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GPS coordinates are often missing for locations added to ActivityInfo by partners</w:t>
            </w:r>
            <w:r w:rsidR="006719AB">
              <w:rPr>
                <w:rFonts w:ascii="Times New Roman" w:hAnsi="Times New Roman"/>
                <w:sz w:val="24"/>
                <w:szCs w:val="24"/>
                <w:lang w:val="en-GB"/>
              </w:rPr>
              <w:t>, this needs to be addressed (especially for schools)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546E77F8" w14:textId="06E1590B" w:rsidR="008A7121" w:rsidRPr="00F06028" w:rsidRDefault="00E819AE" w:rsidP="00F06028">
            <w:pPr>
              <w:pStyle w:val="ListParagraph"/>
              <w:numPr>
                <w:ilvl w:val="0"/>
                <w:numId w:val="44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mapping of the </w:t>
            </w:r>
            <w:r w:rsidR="00C233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data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sources </w:t>
            </w:r>
            <w:r w:rsid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for CODs and FODs was compiled and proposed </w:t>
            </w:r>
            <w:r w:rsidR="008A7121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role</w:t>
            </w:r>
            <w:r w:rsidR="00EB1820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8A7121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guardian </w:t>
            </w:r>
            <w:r w:rsidR="006719AB">
              <w:rPr>
                <w:rFonts w:ascii="Times New Roman" w:hAnsi="Times New Roman"/>
                <w:sz w:val="24"/>
                <w:szCs w:val="24"/>
                <w:lang w:val="en-GB"/>
              </w:rPr>
              <w:t>and sponsor (where</w:t>
            </w:r>
            <w:r w:rsidR="008A7121" w:rsidRPr="00F060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applicable) </w:t>
            </w:r>
            <w:r w:rsidR="00F06028">
              <w:rPr>
                <w:rFonts w:ascii="Times New Roman" w:hAnsi="Times New Roman"/>
                <w:sz w:val="24"/>
                <w:szCs w:val="24"/>
                <w:lang w:val="en-GB"/>
              </w:rPr>
              <w:t>have been included</w:t>
            </w:r>
            <w:r w:rsidR="008A7121" w:rsidRPr="00F06028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6FF326E" w14:textId="0C85739A" w:rsidR="00EB1820" w:rsidRPr="00EB1820" w:rsidRDefault="00EB1820" w:rsidP="00EB1820">
            <w:pPr>
              <w:pStyle w:val="ListParagraph"/>
              <w:numPr>
                <w:ilvl w:val="2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B182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Guardian: Maintains the agreed datasets and coordinates their distribution and updating in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EB1820">
              <w:rPr>
                <w:rFonts w:ascii="Times New Roman" w:hAnsi="Times New Roman"/>
                <w:sz w:val="24"/>
                <w:szCs w:val="24"/>
                <w:lang w:val="en-GB"/>
              </w:rPr>
              <w:t>operation.</w:t>
            </w:r>
          </w:p>
          <w:p w14:paraId="5A1A0BEB" w14:textId="20BFADF4" w:rsidR="00EB1820" w:rsidRPr="00EB1820" w:rsidRDefault="00EB1820" w:rsidP="00EB1820">
            <w:pPr>
              <w:pStyle w:val="ListParagraph"/>
              <w:numPr>
                <w:ilvl w:val="2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B1820">
              <w:rPr>
                <w:rFonts w:ascii="Times New Roman" w:hAnsi="Times New Roman"/>
                <w:sz w:val="24"/>
                <w:szCs w:val="24"/>
                <w:lang w:val="en-GB"/>
              </w:rPr>
              <w:t>Sponsor: Responsible for identifying and liaising wi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 ‘sources' or owners to analys</w:t>
            </w:r>
            <w:r w:rsidRPr="00EB1820">
              <w:rPr>
                <w:rFonts w:ascii="Times New Roman" w:hAnsi="Times New Roman"/>
                <w:sz w:val="24"/>
                <w:szCs w:val="24"/>
                <w:lang w:val="en-GB"/>
              </w:rPr>
              <w:t>e, collate, clean and reach agreement on a specific operational dataset.</w:t>
            </w:r>
          </w:p>
          <w:p w14:paraId="6F7D81E0" w14:textId="7014C5BD" w:rsidR="00EB1820" w:rsidRDefault="00EB1820" w:rsidP="00EB1820">
            <w:pPr>
              <w:pStyle w:val="ListParagraph"/>
              <w:numPr>
                <w:ilvl w:val="2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B1820">
              <w:rPr>
                <w:rFonts w:ascii="Times New Roman" w:hAnsi="Times New Roman"/>
                <w:sz w:val="24"/>
                <w:szCs w:val="24"/>
                <w:lang w:val="en-GB"/>
              </w:rPr>
              <w:t>Source or Owner: Agrees to be fully responsible for the development, maintenance and metadata associated with a dataset and control distribution restrictions.</w:t>
            </w:r>
          </w:p>
          <w:tbl>
            <w:tblPr>
              <w:tblStyle w:val="TableGrid"/>
              <w:tblW w:w="8937" w:type="dxa"/>
              <w:tblInd w:w="976" w:type="dxa"/>
              <w:tblLayout w:type="fixed"/>
              <w:tblLook w:val="04A0" w:firstRow="1" w:lastRow="0" w:firstColumn="1" w:lastColumn="0" w:noHBand="0" w:noVBand="1"/>
            </w:tblPr>
            <w:tblGrid>
              <w:gridCol w:w="2558"/>
              <w:gridCol w:w="4253"/>
              <w:gridCol w:w="2126"/>
            </w:tblGrid>
            <w:tr w:rsidR="005E6907" w:rsidRPr="00E4408E" w14:paraId="6F5D53E3" w14:textId="77777777" w:rsidTr="00056EAC">
              <w:trPr>
                <w:trHeight w:val="416"/>
              </w:trPr>
              <w:tc>
                <w:tcPr>
                  <w:tcW w:w="2558" w:type="dxa"/>
                  <w:shd w:val="clear" w:color="auto" w:fill="DBE5F1" w:themeFill="accent1" w:themeFillTint="33"/>
                  <w:vAlign w:val="bottom"/>
                </w:tcPr>
                <w:p w14:paraId="71832274" w14:textId="77777777" w:rsidR="005E6907" w:rsidRPr="00E4408E" w:rsidRDefault="005E6907" w:rsidP="005E690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COD</w:t>
                  </w:r>
                </w:p>
              </w:tc>
              <w:tc>
                <w:tcPr>
                  <w:tcW w:w="4253" w:type="dxa"/>
                  <w:shd w:val="clear" w:color="auto" w:fill="DBE5F1" w:themeFill="accent1" w:themeFillTint="33"/>
                  <w:vAlign w:val="bottom"/>
                </w:tcPr>
                <w:p w14:paraId="4ECDA244" w14:textId="77777777" w:rsidR="005E6907" w:rsidRPr="00E4408E" w:rsidRDefault="005E6907" w:rsidP="005E690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Source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/owner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  <w:vAlign w:val="bottom"/>
                </w:tcPr>
                <w:p w14:paraId="41D6FAB9" w14:textId="77777777" w:rsidR="005E6907" w:rsidRPr="00E4408E" w:rsidRDefault="005E6907" w:rsidP="005E690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Guardian/sponsor</w:t>
                  </w:r>
                </w:p>
              </w:tc>
            </w:tr>
            <w:tr w:rsidR="005E6907" w:rsidRPr="00E4408E" w14:paraId="672163E2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6A680CA5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Admin boundaries</w:t>
                  </w:r>
                </w:p>
              </w:tc>
              <w:tc>
                <w:tcPr>
                  <w:tcW w:w="4253" w:type="dxa"/>
                </w:tcPr>
                <w:p w14:paraId="34BA0669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UBOS</w:t>
                  </w:r>
                </w:p>
              </w:tc>
              <w:tc>
                <w:tcPr>
                  <w:tcW w:w="2126" w:type="dxa"/>
                </w:tcPr>
                <w:p w14:paraId="5F94B645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</w:t>
                  </w:r>
                </w:p>
              </w:tc>
            </w:tr>
            <w:tr w:rsidR="005E6907" w:rsidRPr="00E4408E" w14:paraId="0A30A16D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0701C7BF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Populated places/settlement</w:t>
                  </w:r>
                </w:p>
              </w:tc>
              <w:tc>
                <w:tcPr>
                  <w:tcW w:w="4253" w:type="dxa"/>
                </w:tcPr>
                <w:p w14:paraId="6A589A6A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UBOS</w:t>
                  </w:r>
                </w:p>
              </w:tc>
              <w:tc>
                <w:tcPr>
                  <w:tcW w:w="2126" w:type="dxa"/>
                </w:tcPr>
                <w:p w14:paraId="6428BEE7" w14:textId="77777777" w:rsidR="005E6907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</w:t>
                  </w:r>
                </w:p>
              </w:tc>
            </w:tr>
            <w:tr w:rsidR="005E6907" w:rsidRPr="00E4408E" w14:paraId="10D47BBA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06AD8F98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Refugee settlements</w:t>
                  </w:r>
                </w:p>
              </w:tc>
              <w:tc>
                <w:tcPr>
                  <w:tcW w:w="4253" w:type="dxa"/>
                </w:tcPr>
                <w:p w14:paraId="4B6A6826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OPM, </w:t>
                  </w: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Ministry of Lands, Housing &amp; Urban Development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UNHCR</w:t>
                  </w:r>
                </w:p>
              </w:tc>
              <w:tc>
                <w:tcPr>
                  <w:tcW w:w="2126" w:type="dxa"/>
                </w:tcPr>
                <w:p w14:paraId="4C2A60E8" w14:textId="77777777" w:rsidR="005E6907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</w:t>
                  </w:r>
                </w:p>
              </w:tc>
            </w:tr>
            <w:tr w:rsidR="005E6907" w:rsidRPr="00E4408E" w14:paraId="43D2D333" w14:textId="77777777" w:rsidTr="00056EAC">
              <w:trPr>
                <w:trHeight w:val="298"/>
              </w:trPr>
              <w:tc>
                <w:tcPr>
                  <w:tcW w:w="2558" w:type="dxa"/>
                </w:tcPr>
                <w:p w14:paraId="429B4112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Transportation</w:t>
                  </w:r>
                </w:p>
              </w:tc>
              <w:tc>
                <w:tcPr>
                  <w:tcW w:w="4253" w:type="dxa"/>
                </w:tcPr>
                <w:p w14:paraId="591C39B6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UNRA, Ministry of Works &amp; Transport, District Local Government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WFP, HOT, UNOPS</w:t>
                  </w:r>
                </w:p>
              </w:tc>
              <w:tc>
                <w:tcPr>
                  <w:tcW w:w="2126" w:type="dxa"/>
                </w:tcPr>
                <w:p w14:paraId="2ADEE3B8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UNHCR/HOT</w:t>
                  </w:r>
                </w:p>
              </w:tc>
            </w:tr>
            <w:tr w:rsidR="005E6907" w:rsidRPr="00E4408E" w14:paraId="5C428463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09FD1EB4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Hydrology and g</w:t>
                  </w: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 xml:space="preserve">round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w</w:t>
                  </w: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ater resources</w:t>
                  </w:r>
                </w:p>
              </w:tc>
              <w:tc>
                <w:tcPr>
                  <w:tcW w:w="4253" w:type="dxa"/>
                </w:tcPr>
                <w:p w14:paraId="4E8F8454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Ministry of Water</w:t>
                  </w:r>
                </w:p>
              </w:tc>
              <w:tc>
                <w:tcPr>
                  <w:tcW w:w="2126" w:type="dxa"/>
                </w:tcPr>
                <w:p w14:paraId="72D47968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</w:t>
                  </w:r>
                </w:p>
              </w:tc>
            </w:tr>
            <w:tr w:rsidR="005E6907" w:rsidRPr="00E4408E" w14:paraId="721B31E7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7EDDC2AC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Hypsography</w:t>
                  </w:r>
                </w:p>
              </w:tc>
              <w:tc>
                <w:tcPr>
                  <w:tcW w:w="4253" w:type="dxa"/>
                </w:tcPr>
                <w:p w14:paraId="1C82323A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Ministry of Lands, Housing &amp; Urban Development</w:t>
                  </w:r>
                </w:p>
              </w:tc>
              <w:tc>
                <w:tcPr>
                  <w:tcW w:w="2126" w:type="dxa"/>
                </w:tcPr>
                <w:p w14:paraId="49CDAAB8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</w:t>
                  </w:r>
                </w:p>
              </w:tc>
            </w:tr>
            <w:tr w:rsidR="005E6907" w:rsidRPr="00E4408E" w14:paraId="58F86B53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18565BB0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Population s</w:t>
                  </w: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tatistics</w:t>
                  </w:r>
                </w:p>
              </w:tc>
              <w:tc>
                <w:tcPr>
                  <w:tcW w:w="4253" w:type="dxa"/>
                </w:tcPr>
                <w:p w14:paraId="440830A6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OPM, UBOS, UNHCR</w:t>
                  </w:r>
                </w:p>
              </w:tc>
              <w:tc>
                <w:tcPr>
                  <w:tcW w:w="2126" w:type="dxa"/>
                </w:tcPr>
                <w:p w14:paraId="093F359D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</w:t>
                  </w:r>
                </w:p>
              </w:tc>
            </w:tr>
            <w:tr w:rsidR="005E6907" w:rsidRPr="00E4408E" w14:paraId="1F0D21F2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4D3A3E32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Border points</w:t>
                  </w:r>
                </w:p>
              </w:tc>
              <w:tc>
                <w:tcPr>
                  <w:tcW w:w="4253" w:type="dxa"/>
                </w:tcPr>
                <w:p w14:paraId="4E70E558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IOM, HOT, UNHCR</w:t>
                  </w:r>
                </w:p>
              </w:tc>
              <w:tc>
                <w:tcPr>
                  <w:tcW w:w="2126" w:type="dxa"/>
                </w:tcPr>
                <w:p w14:paraId="5C1B515C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UNHCR/HOT</w:t>
                  </w:r>
                </w:p>
              </w:tc>
            </w:tr>
            <w:tr w:rsidR="005E6907" w:rsidRPr="00E4408E" w14:paraId="49B0157B" w14:textId="77777777" w:rsidTr="00056EAC">
              <w:trPr>
                <w:trHeight w:val="469"/>
              </w:trPr>
              <w:tc>
                <w:tcPr>
                  <w:tcW w:w="2558" w:type="dxa"/>
                  <w:shd w:val="clear" w:color="auto" w:fill="DBE5F1" w:themeFill="accent1" w:themeFillTint="33"/>
                  <w:vAlign w:val="bottom"/>
                </w:tcPr>
                <w:p w14:paraId="55DC0D7D" w14:textId="77777777" w:rsidR="005E6907" w:rsidRPr="00E4408E" w:rsidRDefault="005E6907" w:rsidP="005E6907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F</w:t>
                  </w:r>
                  <w:r w:rsidRPr="00E4408E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4253" w:type="dxa"/>
                  <w:shd w:val="clear" w:color="auto" w:fill="DBE5F1" w:themeFill="accent1" w:themeFillTint="33"/>
                  <w:vAlign w:val="bottom"/>
                </w:tcPr>
                <w:p w14:paraId="75FE66AC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Source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/owner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  <w:vAlign w:val="bottom"/>
                </w:tcPr>
                <w:p w14:paraId="3BB5D4C3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Guardian/sponsor</w:t>
                  </w:r>
                </w:p>
              </w:tc>
            </w:tr>
            <w:tr w:rsidR="005E6907" w:rsidRPr="00E4408E" w14:paraId="34E975DA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0334E4F5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Education (primary / secondary schools etc.)</w:t>
                  </w:r>
                </w:p>
              </w:tc>
              <w:tc>
                <w:tcPr>
                  <w:tcW w:w="4253" w:type="dxa"/>
                </w:tcPr>
                <w:p w14:paraId="1F40333E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 xml:space="preserve">UNICEF, HOT, UBOS, Ministry of Education, Education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p</w:t>
                  </w: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artners</w:t>
                  </w:r>
                </w:p>
              </w:tc>
              <w:tc>
                <w:tcPr>
                  <w:tcW w:w="2126" w:type="dxa"/>
                </w:tcPr>
                <w:p w14:paraId="7CFA99C1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UNHCR/HOT</w:t>
                  </w:r>
                </w:p>
              </w:tc>
            </w:tr>
            <w:tr w:rsidR="005E6907" w:rsidRPr="00E4408E" w14:paraId="411C2198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7B5B0608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WASH (water points, sanitation facilities etc.)</w:t>
                  </w:r>
                </w:p>
              </w:tc>
              <w:tc>
                <w:tcPr>
                  <w:tcW w:w="4253" w:type="dxa"/>
                </w:tcPr>
                <w:p w14:paraId="6E0358F0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Ministry of Water, UNHCR, HOT, WASH partners</w:t>
                  </w:r>
                </w:p>
              </w:tc>
              <w:tc>
                <w:tcPr>
                  <w:tcW w:w="2126" w:type="dxa"/>
                </w:tcPr>
                <w:p w14:paraId="1177EF18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UNHCR/HOT</w:t>
                  </w:r>
                </w:p>
              </w:tc>
            </w:tr>
            <w:tr w:rsidR="005E6907" w:rsidRPr="00E4408E" w14:paraId="1C34B033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6F418EB2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Health (health facilities etc.)</w:t>
                  </w:r>
                </w:p>
              </w:tc>
              <w:tc>
                <w:tcPr>
                  <w:tcW w:w="4253" w:type="dxa"/>
                </w:tcPr>
                <w:p w14:paraId="410C31A2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408E">
                    <w:rPr>
                      <w:rFonts w:ascii="Times New Roman" w:hAnsi="Times New Roman"/>
                      <w:sz w:val="22"/>
                      <w:szCs w:val="22"/>
                    </w:rPr>
                    <w:t>Ministry of Health, UNHCR, HOT, Health partners</w:t>
                  </w:r>
                </w:p>
              </w:tc>
              <w:tc>
                <w:tcPr>
                  <w:tcW w:w="2126" w:type="dxa"/>
                </w:tcPr>
                <w:p w14:paraId="0BD8EE25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UNHCR/HOT</w:t>
                  </w:r>
                </w:p>
              </w:tc>
            </w:tr>
            <w:tr w:rsidR="005E6907" w:rsidRPr="00E4408E" w14:paraId="55718F4E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2C585531" w14:textId="77777777" w:rsidR="005E6907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Environment (woodlots, tree nurseries etc.)</w:t>
                  </w:r>
                </w:p>
              </w:tc>
              <w:tc>
                <w:tcPr>
                  <w:tcW w:w="4253" w:type="dxa"/>
                </w:tcPr>
                <w:p w14:paraId="53C90946" w14:textId="77777777" w:rsidR="005E6907" w:rsidRPr="00E4408E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National Forest Authority, UNHCR, Ministry of Energy, Environment partners</w:t>
                  </w:r>
                </w:p>
              </w:tc>
              <w:tc>
                <w:tcPr>
                  <w:tcW w:w="2126" w:type="dxa"/>
                </w:tcPr>
                <w:p w14:paraId="62759F6A" w14:textId="77777777" w:rsidR="005E6907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UNHCR/HOT</w:t>
                  </w:r>
                </w:p>
              </w:tc>
            </w:tr>
            <w:tr w:rsidR="005E6907" w:rsidRPr="00E4408E" w14:paraId="7FAD526A" w14:textId="77777777" w:rsidTr="00056EAC">
              <w:trPr>
                <w:trHeight w:val="309"/>
              </w:trPr>
              <w:tc>
                <w:tcPr>
                  <w:tcW w:w="2558" w:type="dxa"/>
                </w:tcPr>
                <w:p w14:paraId="00938F76" w14:textId="77777777" w:rsidR="005E6907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Food (food distribution points etc.)</w:t>
                  </w:r>
                </w:p>
              </w:tc>
              <w:tc>
                <w:tcPr>
                  <w:tcW w:w="4253" w:type="dxa"/>
                </w:tcPr>
                <w:p w14:paraId="37F35977" w14:textId="77777777" w:rsidR="005E6907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WFP</w:t>
                  </w:r>
                </w:p>
              </w:tc>
              <w:tc>
                <w:tcPr>
                  <w:tcW w:w="2126" w:type="dxa"/>
                </w:tcPr>
                <w:p w14:paraId="0DBBFB88" w14:textId="77777777" w:rsidR="005E6907" w:rsidRDefault="005E6907" w:rsidP="005E690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UNHCR</w:t>
                  </w:r>
                </w:p>
              </w:tc>
            </w:tr>
          </w:tbl>
          <w:p w14:paraId="101ADBD4" w14:textId="77777777" w:rsidR="005E6907" w:rsidRDefault="005E6907" w:rsidP="005E6907">
            <w:pPr>
              <w:pStyle w:val="ListParagraph"/>
              <w:spacing w:after="240"/>
              <w:ind w:left="21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170052A" w14:textId="77777777" w:rsidR="005E6907" w:rsidRDefault="005E6907" w:rsidP="005E6907">
            <w:pPr>
              <w:pStyle w:val="ListParagraph"/>
              <w:spacing w:after="240"/>
              <w:ind w:left="21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73FADAF" w14:textId="77777777" w:rsidR="005E6907" w:rsidRDefault="005E6907" w:rsidP="005E6907">
            <w:pPr>
              <w:pStyle w:val="ListParagraph"/>
              <w:spacing w:after="240"/>
              <w:ind w:left="21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0F6F21C" w14:textId="77777777" w:rsidR="005E6907" w:rsidRDefault="005E6907" w:rsidP="005E6907">
            <w:pPr>
              <w:pStyle w:val="ListParagraph"/>
              <w:spacing w:after="240"/>
              <w:ind w:left="21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CB2E65A" w14:textId="77777777" w:rsidR="005E6907" w:rsidRDefault="005E6907" w:rsidP="005E6907">
            <w:pPr>
              <w:pStyle w:val="ListParagraph"/>
              <w:spacing w:after="240"/>
              <w:ind w:left="21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D444B32" w14:textId="77777777" w:rsidR="005E6907" w:rsidRDefault="005E6907" w:rsidP="005E690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E690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Update from the Assessment Technical Working Group</w:t>
            </w:r>
          </w:p>
          <w:p w14:paraId="2E14B6A3" w14:textId="1C1C7C89" w:rsidR="005E6907" w:rsidRDefault="005E6907" w:rsidP="005E6907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E6907">
              <w:rPr>
                <w:rFonts w:ascii="Times New Roman" w:hAnsi="Times New Roman"/>
                <w:sz w:val="24"/>
                <w:szCs w:val="24"/>
                <w:lang w:val="en-GB"/>
              </w:rPr>
              <w:t>In the context of the Vulnerability and Essential Needs Assessment (VENA), REACH will hold training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5E69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refugee and Ugandan enumerators involved in the primary data collection, as per the schedule </w:t>
            </w:r>
            <w:proofErr w:type="spellStart"/>
            <w:r w:rsidRPr="005E6907">
              <w:rPr>
                <w:rFonts w:ascii="Times New Roman" w:hAnsi="Times New Roman"/>
                <w:sz w:val="24"/>
                <w:szCs w:val="24"/>
                <w:lang w:val="en-GB"/>
              </w:rPr>
              <w:t>below:</w:t>
            </w:r>
            <w:proofErr w:type="spellEnd"/>
          </w:p>
          <w:p w14:paraId="0204C02C" w14:textId="7C2E76E6" w:rsidR="005E6907" w:rsidRPr="005E6907" w:rsidRDefault="005E6907" w:rsidP="005E6907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Arua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, 6 to 8 August</w:t>
            </w:r>
          </w:p>
          <w:p w14:paraId="37CBB724" w14:textId="374CA617" w:rsidR="005E6907" w:rsidRPr="005E6907" w:rsidRDefault="005E6907" w:rsidP="005E6907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Gulu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, 14 to 16 August</w:t>
            </w:r>
          </w:p>
          <w:p w14:paraId="433D1BB9" w14:textId="77777777" w:rsidR="00F22808" w:rsidRDefault="005E6907" w:rsidP="005E6907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Mbarara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, 19 to 21 August</w:t>
            </w:r>
          </w:p>
          <w:p w14:paraId="01CFE9E2" w14:textId="38CD9E42" w:rsidR="005E6907" w:rsidRPr="005E6907" w:rsidRDefault="005E6907" w:rsidP="005E6907">
            <w:pPr>
              <w:pStyle w:val="ListParagraph"/>
              <w:ind w:left="216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4" w:name="_GoBack"/>
            <w:bookmarkEnd w:id="4"/>
          </w:p>
        </w:tc>
      </w:tr>
      <w:tr w:rsidR="00E71DBA" w:rsidRPr="000A1C1A" w14:paraId="3B3D8E58" w14:textId="77777777" w:rsidTr="00AA7643">
        <w:trPr>
          <w:trHeight w:val="288"/>
        </w:trPr>
        <w:tc>
          <w:tcPr>
            <w:tcW w:w="589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EA5B8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MinuteActionItems"/>
            <w:bookmarkEnd w:id="5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C84915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6" w:name="MinutePersonResponsible"/>
            <w:bookmarkEnd w:id="6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Person responsible</w:t>
            </w:r>
          </w:p>
        </w:tc>
        <w:tc>
          <w:tcPr>
            <w:tcW w:w="148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857D0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7" w:name="MinuteDeadline"/>
            <w:bookmarkEnd w:id="7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Deadline</w:t>
            </w:r>
          </w:p>
        </w:tc>
      </w:tr>
      <w:tr w:rsidR="0085168B" w:rsidRPr="000A1C1A" w14:paraId="37096727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39EC1548" w14:textId="0068B4DC" w:rsidR="00581726" w:rsidRPr="002237A8" w:rsidRDefault="000F0713" w:rsidP="00575AA4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0F942E6" w14:textId="4BEF1611" w:rsidR="00BF0434" w:rsidRPr="002237A8" w:rsidRDefault="000F0713" w:rsidP="00412CF3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883FED" w14:textId="2E2E6238" w:rsidR="00BF0434" w:rsidRPr="002237A8" w:rsidRDefault="000F0713" w:rsidP="00412CF3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</w:tc>
      </w:tr>
      <w:bookmarkEnd w:id="3"/>
    </w:tbl>
    <w:p w14:paraId="7EC706E6" w14:textId="308A96AA" w:rsidR="005C57BD" w:rsidRDefault="005C57BD" w:rsidP="00E546F4">
      <w:pPr>
        <w:ind w:left="0"/>
        <w:rPr>
          <w:rFonts w:ascii="Maiandra GD" w:hAnsi="Maiandra GD"/>
          <w:lang w:val="en-GB"/>
        </w:rPr>
      </w:pPr>
    </w:p>
    <w:p w14:paraId="4FC2C010" w14:textId="5EB9D963" w:rsidR="005C57BD" w:rsidRDefault="005C57BD">
      <w:pPr>
        <w:ind w:left="0"/>
        <w:rPr>
          <w:rFonts w:ascii="Maiandra GD" w:hAnsi="Maiandra GD"/>
          <w:lang w:val="en-GB"/>
        </w:rPr>
      </w:pPr>
    </w:p>
    <w:sectPr w:rsidR="005C57BD" w:rsidSect="00D8181B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C356F" w14:textId="77777777" w:rsidR="0000425C" w:rsidRDefault="0000425C" w:rsidP="00464C4B">
      <w:r>
        <w:separator/>
      </w:r>
    </w:p>
  </w:endnote>
  <w:endnote w:type="continuationSeparator" w:id="0">
    <w:p w14:paraId="2C910748" w14:textId="77777777" w:rsidR="0000425C" w:rsidRDefault="0000425C" w:rsidP="004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81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A99390" w14:textId="77777777" w:rsidR="00464C4B" w:rsidRDefault="00464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8EA412" w14:textId="77777777" w:rsidR="00464C4B" w:rsidRDefault="00464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E61E8" w14:textId="77777777" w:rsidR="0000425C" w:rsidRDefault="0000425C" w:rsidP="00464C4B">
      <w:r>
        <w:separator/>
      </w:r>
    </w:p>
  </w:footnote>
  <w:footnote w:type="continuationSeparator" w:id="0">
    <w:p w14:paraId="10A91CA4" w14:textId="77777777" w:rsidR="0000425C" w:rsidRDefault="0000425C" w:rsidP="0046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0FC5" w14:textId="77777777" w:rsidR="00464C4B" w:rsidRDefault="0000425C">
    <w:pPr>
      <w:pStyle w:val="Header"/>
    </w:pPr>
    <w:r>
      <w:rPr>
        <w:noProof/>
      </w:rPr>
      <w:pict w14:anchorId="2FFCB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3" o:spid="_x0000_s2050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1E42" w14:textId="77777777" w:rsidR="00464C4B" w:rsidRDefault="0000425C">
    <w:pPr>
      <w:pStyle w:val="Header"/>
    </w:pPr>
    <w:r>
      <w:rPr>
        <w:noProof/>
      </w:rPr>
      <w:pict w14:anchorId="0E20E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4" o:spid="_x0000_s2051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C51C" w14:textId="77777777" w:rsidR="00464C4B" w:rsidRDefault="0000425C">
    <w:pPr>
      <w:pStyle w:val="Header"/>
    </w:pPr>
    <w:r>
      <w:rPr>
        <w:noProof/>
      </w:rPr>
      <w:pict w14:anchorId="1ED34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2" o:spid="_x0000_s2049" type="#_x0000_t136" style="position:absolute;left:0;text-align:left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30C"/>
    <w:multiLevelType w:val="hybridMultilevel"/>
    <w:tmpl w:val="7F18190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81B2949"/>
    <w:multiLevelType w:val="hybridMultilevel"/>
    <w:tmpl w:val="77461A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0ACA2B5E"/>
    <w:multiLevelType w:val="hybridMultilevel"/>
    <w:tmpl w:val="CC0440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103F6136"/>
    <w:multiLevelType w:val="hybridMultilevel"/>
    <w:tmpl w:val="354274E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18872833"/>
    <w:multiLevelType w:val="hybridMultilevel"/>
    <w:tmpl w:val="C1DEEF9C"/>
    <w:lvl w:ilvl="0" w:tplc="3D543A8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0018B"/>
    <w:multiLevelType w:val="hybridMultilevel"/>
    <w:tmpl w:val="BF3A92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1B776AF2"/>
    <w:multiLevelType w:val="hybridMultilevel"/>
    <w:tmpl w:val="487C38FC"/>
    <w:lvl w:ilvl="0" w:tplc="6C80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8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E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E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BF1104C"/>
    <w:multiLevelType w:val="hybridMultilevel"/>
    <w:tmpl w:val="B96E66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E50ED"/>
    <w:multiLevelType w:val="hybridMultilevel"/>
    <w:tmpl w:val="B8D681F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23CD1980"/>
    <w:multiLevelType w:val="hybridMultilevel"/>
    <w:tmpl w:val="1684499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27F935EB"/>
    <w:multiLevelType w:val="hybridMultilevel"/>
    <w:tmpl w:val="8278A14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29BC3ED3"/>
    <w:multiLevelType w:val="hybridMultilevel"/>
    <w:tmpl w:val="76703504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2" w15:restartNumberingAfterBreak="0">
    <w:nsid w:val="31CF7CFB"/>
    <w:multiLevelType w:val="hybridMultilevel"/>
    <w:tmpl w:val="1ACC560E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31EA286E"/>
    <w:multiLevelType w:val="hybridMultilevel"/>
    <w:tmpl w:val="8958666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4" w15:restartNumberingAfterBreak="0">
    <w:nsid w:val="333D6E7D"/>
    <w:multiLevelType w:val="hybridMultilevel"/>
    <w:tmpl w:val="17348E92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37A165B6"/>
    <w:multiLevelType w:val="hybridMultilevel"/>
    <w:tmpl w:val="C352C69E"/>
    <w:lvl w:ilvl="0" w:tplc="91B2FFE0">
      <w:start w:val="16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F510E0"/>
    <w:multiLevelType w:val="hybridMultilevel"/>
    <w:tmpl w:val="0D36130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0260A1E"/>
    <w:multiLevelType w:val="hybridMultilevel"/>
    <w:tmpl w:val="B18CD10E"/>
    <w:lvl w:ilvl="0" w:tplc="B8C8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C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C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8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2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810EB5"/>
    <w:multiLevelType w:val="hybridMultilevel"/>
    <w:tmpl w:val="B5F40612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543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07A2C"/>
    <w:multiLevelType w:val="hybridMultilevel"/>
    <w:tmpl w:val="6BE82D6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 w15:restartNumberingAfterBreak="0">
    <w:nsid w:val="56B36B89"/>
    <w:multiLevelType w:val="hybridMultilevel"/>
    <w:tmpl w:val="7BAAB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A310D"/>
    <w:multiLevelType w:val="hybridMultilevel"/>
    <w:tmpl w:val="048CB67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1845D0"/>
    <w:multiLevelType w:val="hybridMultilevel"/>
    <w:tmpl w:val="1AFEF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563A61"/>
    <w:multiLevelType w:val="hybridMultilevel"/>
    <w:tmpl w:val="BCE67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CA3965"/>
    <w:multiLevelType w:val="hybridMultilevel"/>
    <w:tmpl w:val="2E56FF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FC3377"/>
    <w:multiLevelType w:val="hybridMultilevel"/>
    <w:tmpl w:val="02C0BCD2"/>
    <w:lvl w:ilvl="0" w:tplc="B212101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6" w15:restartNumberingAfterBreak="0">
    <w:nsid w:val="6B6F5F0D"/>
    <w:multiLevelType w:val="hybridMultilevel"/>
    <w:tmpl w:val="789C9972"/>
    <w:lvl w:ilvl="0" w:tplc="2B08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8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03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CE3AC6"/>
    <w:multiLevelType w:val="hybridMultilevel"/>
    <w:tmpl w:val="10B2B9F6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8" w15:restartNumberingAfterBreak="0">
    <w:nsid w:val="6F7D68C3"/>
    <w:multiLevelType w:val="hybridMultilevel"/>
    <w:tmpl w:val="8500F9E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3E14EE1"/>
    <w:multiLevelType w:val="hybridMultilevel"/>
    <w:tmpl w:val="A3EE51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0" w15:restartNumberingAfterBreak="0">
    <w:nsid w:val="76347EF9"/>
    <w:multiLevelType w:val="hybridMultilevel"/>
    <w:tmpl w:val="B8B0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B44E3"/>
    <w:multiLevelType w:val="hybridMultilevel"/>
    <w:tmpl w:val="F9E8BFA4"/>
    <w:lvl w:ilvl="0" w:tplc="757C9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051E8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4C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04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A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09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AF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1E09C5"/>
    <w:multiLevelType w:val="hybridMultilevel"/>
    <w:tmpl w:val="19202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8"/>
  </w:num>
  <w:num w:numId="13">
    <w:abstractNumId w:val="22"/>
  </w:num>
  <w:num w:numId="14">
    <w:abstractNumId w:val="26"/>
  </w:num>
  <w:num w:numId="15">
    <w:abstractNumId w:val="15"/>
  </w:num>
  <w:num w:numId="16">
    <w:abstractNumId w:val="10"/>
  </w:num>
  <w:num w:numId="17">
    <w:abstractNumId w:val="20"/>
  </w:num>
  <w:num w:numId="18">
    <w:abstractNumId w:val="24"/>
  </w:num>
  <w:num w:numId="19">
    <w:abstractNumId w:val="39"/>
  </w:num>
  <w:num w:numId="20">
    <w:abstractNumId w:val="19"/>
  </w:num>
  <w:num w:numId="21">
    <w:abstractNumId w:val="29"/>
  </w:num>
  <w:num w:numId="22">
    <w:abstractNumId w:val="13"/>
  </w:num>
  <w:num w:numId="23">
    <w:abstractNumId w:val="12"/>
  </w:num>
  <w:num w:numId="24">
    <w:abstractNumId w:val="37"/>
  </w:num>
  <w:num w:numId="25">
    <w:abstractNumId w:val="23"/>
  </w:num>
  <w:num w:numId="26">
    <w:abstractNumId w:val="40"/>
  </w:num>
  <w:num w:numId="27">
    <w:abstractNumId w:val="30"/>
  </w:num>
  <w:num w:numId="28">
    <w:abstractNumId w:val="35"/>
  </w:num>
  <w:num w:numId="29">
    <w:abstractNumId w:val="35"/>
  </w:num>
  <w:num w:numId="30">
    <w:abstractNumId w:val="25"/>
  </w:num>
  <w:num w:numId="31">
    <w:abstractNumId w:val="21"/>
  </w:num>
  <w:num w:numId="32">
    <w:abstractNumId w:val="28"/>
  </w:num>
  <w:num w:numId="33">
    <w:abstractNumId w:val="33"/>
  </w:num>
  <w:num w:numId="34">
    <w:abstractNumId w:val="36"/>
  </w:num>
  <w:num w:numId="35">
    <w:abstractNumId w:val="16"/>
  </w:num>
  <w:num w:numId="36">
    <w:abstractNumId w:val="27"/>
  </w:num>
  <w:num w:numId="37">
    <w:abstractNumId w:val="38"/>
  </w:num>
  <w:num w:numId="38">
    <w:abstractNumId w:val="34"/>
  </w:num>
  <w:num w:numId="39">
    <w:abstractNumId w:val="42"/>
  </w:num>
  <w:num w:numId="40">
    <w:abstractNumId w:val="32"/>
  </w:num>
  <w:num w:numId="41">
    <w:abstractNumId w:val="17"/>
  </w:num>
  <w:num w:numId="42">
    <w:abstractNumId w:val="31"/>
  </w:num>
  <w:num w:numId="43">
    <w:abstractNumId w:val="4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B"/>
    <w:rsid w:val="00002055"/>
    <w:rsid w:val="0000425C"/>
    <w:rsid w:val="0001037C"/>
    <w:rsid w:val="00011726"/>
    <w:rsid w:val="000145A5"/>
    <w:rsid w:val="00024B94"/>
    <w:rsid w:val="000312F9"/>
    <w:rsid w:val="00033233"/>
    <w:rsid w:val="00043514"/>
    <w:rsid w:val="00043594"/>
    <w:rsid w:val="000467DE"/>
    <w:rsid w:val="000605E7"/>
    <w:rsid w:val="00075890"/>
    <w:rsid w:val="000918DE"/>
    <w:rsid w:val="00093531"/>
    <w:rsid w:val="000A1C1A"/>
    <w:rsid w:val="000B6505"/>
    <w:rsid w:val="000B6A65"/>
    <w:rsid w:val="000D0FE8"/>
    <w:rsid w:val="000D1C32"/>
    <w:rsid w:val="000D5417"/>
    <w:rsid w:val="000D7435"/>
    <w:rsid w:val="000F0713"/>
    <w:rsid w:val="000F6B6A"/>
    <w:rsid w:val="0011140C"/>
    <w:rsid w:val="00114A69"/>
    <w:rsid w:val="00132681"/>
    <w:rsid w:val="00133E47"/>
    <w:rsid w:val="00145127"/>
    <w:rsid w:val="00162037"/>
    <w:rsid w:val="00172820"/>
    <w:rsid w:val="00195948"/>
    <w:rsid w:val="00197A5B"/>
    <w:rsid w:val="001A66ED"/>
    <w:rsid w:val="001F32FA"/>
    <w:rsid w:val="00200862"/>
    <w:rsid w:val="002138F0"/>
    <w:rsid w:val="002237A8"/>
    <w:rsid w:val="00225BE6"/>
    <w:rsid w:val="00231E78"/>
    <w:rsid w:val="00233DB6"/>
    <w:rsid w:val="00264B18"/>
    <w:rsid w:val="00273993"/>
    <w:rsid w:val="0028036E"/>
    <w:rsid w:val="002A3551"/>
    <w:rsid w:val="002B211F"/>
    <w:rsid w:val="002B6182"/>
    <w:rsid w:val="002B63B6"/>
    <w:rsid w:val="002E54AD"/>
    <w:rsid w:val="003043A8"/>
    <w:rsid w:val="003268E5"/>
    <w:rsid w:val="00331CCF"/>
    <w:rsid w:val="003357D7"/>
    <w:rsid w:val="00336204"/>
    <w:rsid w:val="00341165"/>
    <w:rsid w:val="00342D39"/>
    <w:rsid w:val="00344FA0"/>
    <w:rsid w:val="00350B55"/>
    <w:rsid w:val="00364A91"/>
    <w:rsid w:val="00366B5F"/>
    <w:rsid w:val="00367EE6"/>
    <w:rsid w:val="00370B2C"/>
    <w:rsid w:val="00397307"/>
    <w:rsid w:val="003B0D5A"/>
    <w:rsid w:val="003B6885"/>
    <w:rsid w:val="003C2FBE"/>
    <w:rsid w:val="003D4D5F"/>
    <w:rsid w:val="003E4297"/>
    <w:rsid w:val="003F6EC4"/>
    <w:rsid w:val="00412CF3"/>
    <w:rsid w:val="00417272"/>
    <w:rsid w:val="00417EF1"/>
    <w:rsid w:val="004224E8"/>
    <w:rsid w:val="00423E89"/>
    <w:rsid w:val="00455ACF"/>
    <w:rsid w:val="00456620"/>
    <w:rsid w:val="00461D8A"/>
    <w:rsid w:val="00463BD6"/>
    <w:rsid w:val="00464C4B"/>
    <w:rsid w:val="004700C8"/>
    <w:rsid w:val="00473156"/>
    <w:rsid w:val="00481A15"/>
    <w:rsid w:val="00490264"/>
    <w:rsid w:val="00495E0E"/>
    <w:rsid w:val="004A04A5"/>
    <w:rsid w:val="004A49F1"/>
    <w:rsid w:val="004B1856"/>
    <w:rsid w:val="004B1F8B"/>
    <w:rsid w:val="004B4E5F"/>
    <w:rsid w:val="004B5FB7"/>
    <w:rsid w:val="004B6E9C"/>
    <w:rsid w:val="004C0350"/>
    <w:rsid w:val="005007E8"/>
    <w:rsid w:val="005052C5"/>
    <w:rsid w:val="00516934"/>
    <w:rsid w:val="0052620C"/>
    <w:rsid w:val="005262FE"/>
    <w:rsid w:val="00531002"/>
    <w:rsid w:val="00536DFE"/>
    <w:rsid w:val="00542293"/>
    <w:rsid w:val="00575AA4"/>
    <w:rsid w:val="0058054A"/>
    <w:rsid w:val="00581726"/>
    <w:rsid w:val="00591A19"/>
    <w:rsid w:val="00594E3C"/>
    <w:rsid w:val="005A3F89"/>
    <w:rsid w:val="005A4C69"/>
    <w:rsid w:val="005B297E"/>
    <w:rsid w:val="005B4842"/>
    <w:rsid w:val="005C24BD"/>
    <w:rsid w:val="005C57BD"/>
    <w:rsid w:val="005D1C27"/>
    <w:rsid w:val="005D3887"/>
    <w:rsid w:val="005E14C5"/>
    <w:rsid w:val="005E6907"/>
    <w:rsid w:val="005F58B2"/>
    <w:rsid w:val="005F6C76"/>
    <w:rsid w:val="005F7E01"/>
    <w:rsid w:val="00624AB3"/>
    <w:rsid w:val="006263EC"/>
    <w:rsid w:val="0062649D"/>
    <w:rsid w:val="00626C4D"/>
    <w:rsid w:val="00651CBF"/>
    <w:rsid w:val="006719AB"/>
    <w:rsid w:val="00674813"/>
    <w:rsid w:val="006849D5"/>
    <w:rsid w:val="00692553"/>
    <w:rsid w:val="00694CFC"/>
    <w:rsid w:val="006A3F24"/>
    <w:rsid w:val="006B5EEA"/>
    <w:rsid w:val="006C3DB6"/>
    <w:rsid w:val="006D7E35"/>
    <w:rsid w:val="006D7F55"/>
    <w:rsid w:val="007005A7"/>
    <w:rsid w:val="00733F15"/>
    <w:rsid w:val="00742CA0"/>
    <w:rsid w:val="007467C8"/>
    <w:rsid w:val="007554A1"/>
    <w:rsid w:val="00772254"/>
    <w:rsid w:val="00773714"/>
    <w:rsid w:val="00786C72"/>
    <w:rsid w:val="00793371"/>
    <w:rsid w:val="007A5FFD"/>
    <w:rsid w:val="007C0A8F"/>
    <w:rsid w:val="007C174F"/>
    <w:rsid w:val="007C4CC5"/>
    <w:rsid w:val="007D2491"/>
    <w:rsid w:val="007D42DD"/>
    <w:rsid w:val="007E07A7"/>
    <w:rsid w:val="007E2D6A"/>
    <w:rsid w:val="007E3C0E"/>
    <w:rsid w:val="007F7E59"/>
    <w:rsid w:val="00814111"/>
    <w:rsid w:val="008205EB"/>
    <w:rsid w:val="00824576"/>
    <w:rsid w:val="00827C84"/>
    <w:rsid w:val="00831176"/>
    <w:rsid w:val="00832160"/>
    <w:rsid w:val="008406E0"/>
    <w:rsid w:val="0085167A"/>
    <w:rsid w:val="0085168B"/>
    <w:rsid w:val="00860A5D"/>
    <w:rsid w:val="008615EB"/>
    <w:rsid w:val="00871535"/>
    <w:rsid w:val="008A7121"/>
    <w:rsid w:val="008B2336"/>
    <w:rsid w:val="008C7370"/>
    <w:rsid w:val="008D42F9"/>
    <w:rsid w:val="008F49C0"/>
    <w:rsid w:val="00902AC0"/>
    <w:rsid w:val="00903EDB"/>
    <w:rsid w:val="00914EC2"/>
    <w:rsid w:val="009325E5"/>
    <w:rsid w:val="009466E7"/>
    <w:rsid w:val="00954110"/>
    <w:rsid w:val="00962B7B"/>
    <w:rsid w:val="00963EEE"/>
    <w:rsid w:val="00965677"/>
    <w:rsid w:val="00970977"/>
    <w:rsid w:val="00972122"/>
    <w:rsid w:val="00986E2A"/>
    <w:rsid w:val="00987202"/>
    <w:rsid w:val="009949E6"/>
    <w:rsid w:val="009979A8"/>
    <w:rsid w:val="009C6D46"/>
    <w:rsid w:val="009D5830"/>
    <w:rsid w:val="009E538A"/>
    <w:rsid w:val="009F3BC3"/>
    <w:rsid w:val="009F5807"/>
    <w:rsid w:val="00A25464"/>
    <w:rsid w:val="00A377DD"/>
    <w:rsid w:val="00A538CD"/>
    <w:rsid w:val="00A544E2"/>
    <w:rsid w:val="00A655AC"/>
    <w:rsid w:val="00A6715C"/>
    <w:rsid w:val="00A73FE8"/>
    <w:rsid w:val="00A75813"/>
    <w:rsid w:val="00A77D25"/>
    <w:rsid w:val="00AA08D1"/>
    <w:rsid w:val="00AA7643"/>
    <w:rsid w:val="00AB5FE8"/>
    <w:rsid w:val="00AC45E5"/>
    <w:rsid w:val="00AC5120"/>
    <w:rsid w:val="00AD2CB9"/>
    <w:rsid w:val="00AE2AD9"/>
    <w:rsid w:val="00AE3851"/>
    <w:rsid w:val="00AF194A"/>
    <w:rsid w:val="00AF2686"/>
    <w:rsid w:val="00B1423F"/>
    <w:rsid w:val="00B33783"/>
    <w:rsid w:val="00B368DD"/>
    <w:rsid w:val="00B37EDB"/>
    <w:rsid w:val="00B415DD"/>
    <w:rsid w:val="00B465EF"/>
    <w:rsid w:val="00B714DF"/>
    <w:rsid w:val="00B73E48"/>
    <w:rsid w:val="00B84015"/>
    <w:rsid w:val="00B90FBE"/>
    <w:rsid w:val="00B92F10"/>
    <w:rsid w:val="00B965C8"/>
    <w:rsid w:val="00BB2316"/>
    <w:rsid w:val="00BB24CC"/>
    <w:rsid w:val="00BB5323"/>
    <w:rsid w:val="00BC009D"/>
    <w:rsid w:val="00BC3CD7"/>
    <w:rsid w:val="00BD05B7"/>
    <w:rsid w:val="00BD19E6"/>
    <w:rsid w:val="00BE32BE"/>
    <w:rsid w:val="00BE4FFD"/>
    <w:rsid w:val="00BF0434"/>
    <w:rsid w:val="00BF65DF"/>
    <w:rsid w:val="00C166AB"/>
    <w:rsid w:val="00C233EA"/>
    <w:rsid w:val="00C23F64"/>
    <w:rsid w:val="00C35CFF"/>
    <w:rsid w:val="00C56D86"/>
    <w:rsid w:val="00C6100D"/>
    <w:rsid w:val="00C6365F"/>
    <w:rsid w:val="00C678EE"/>
    <w:rsid w:val="00C8325B"/>
    <w:rsid w:val="00C837D7"/>
    <w:rsid w:val="00C84219"/>
    <w:rsid w:val="00C91130"/>
    <w:rsid w:val="00C9395B"/>
    <w:rsid w:val="00CA32FC"/>
    <w:rsid w:val="00CB3760"/>
    <w:rsid w:val="00CB5EF6"/>
    <w:rsid w:val="00CB6FF6"/>
    <w:rsid w:val="00CD2913"/>
    <w:rsid w:val="00CE1432"/>
    <w:rsid w:val="00CE18DB"/>
    <w:rsid w:val="00CE4B82"/>
    <w:rsid w:val="00CE6342"/>
    <w:rsid w:val="00CF0132"/>
    <w:rsid w:val="00D01964"/>
    <w:rsid w:val="00D01F39"/>
    <w:rsid w:val="00D306E8"/>
    <w:rsid w:val="00D41BCE"/>
    <w:rsid w:val="00D4752E"/>
    <w:rsid w:val="00D55E4A"/>
    <w:rsid w:val="00D621F4"/>
    <w:rsid w:val="00D7749C"/>
    <w:rsid w:val="00D8181B"/>
    <w:rsid w:val="00D84086"/>
    <w:rsid w:val="00D92313"/>
    <w:rsid w:val="00DA41DA"/>
    <w:rsid w:val="00DD2F1C"/>
    <w:rsid w:val="00DD33ED"/>
    <w:rsid w:val="00E131EE"/>
    <w:rsid w:val="00E27B30"/>
    <w:rsid w:val="00E43BAB"/>
    <w:rsid w:val="00E4408E"/>
    <w:rsid w:val="00E4591C"/>
    <w:rsid w:val="00E46D52"/>
    <w:rsid w:val="00E546F4"/>
    <w:rsid w:val="00E60E43"/>
    <w:rsid w:val="00E62F29"/>
    <w:rsid w:val="00E711A3"/>
    <w:rsid w:val="00E71DBA"/>
    <w:rsid w:val="00E819AE"/>
    <w:rsid w:val="00E84E0C"/>
    <w:rsid w:val="00E94E8E"/>
    <w:rsid w:val="00E969FF"/>
    <w:rsid w:val="00EA2581"/>
    <w:rsid w:val="00EA7080"/>
    <w:rsid w:val="00EB1820"/>
    <w:rsid w:val="00EB4655"/>
    <w:rsid w:val="00ED3E4E"/>
    <w:rsid w:val="00EF1D89"/>
    <w:rsid w:val="00EF3B1A"/>
    <w:rsid w:val="00F06028"/>
    <w:rsid w:val="00F166B3"/>
    <w:rsid w:val="00F215DF"/>
    <w:rsid w:val="00F22808"/>
    <w:rsid w:val="00F62D0F"/>
    <w:rsid w:val="00F63C83"/>
    <w:rsid w:val="00F750C0"/>
    <w:rsid w:val="00F77A24"/>
    <w:rsid w:val="00F9144F"/>
    <w:rsid w:val="00F97F6C"/>
    <w:rsid w:val="00FA43AB"/>
    <w:rsid w:val="00FB0F22"/>
    <w:rsid w:val="00FB274B"/>
    <w:rsid w:val="00FD0014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7F86554"/>
  <w15:docId w15:val="{04C71BA1-0C9D-487B-A66B-D930048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973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C4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6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4B"/>
    <w:rPr>
      <w:rFonts w:asciiTheme="minorHAnsi" w:hAnsiTheme="minorHAnsi"/>
      <w:spacing w:val="4"/>
      <w:sz w:val="16"/>
      <w:szCs w:val="18"/>
    </w:rPr>
  </w:style>
  <w:style w:type="character" w:styleId="CommentReference">
    <w:name w:val="annotation reference"/>
    <w:basedOn w:val="DefaultParagraphFont"/>
    <w:semiHidden/>
    <w:unhideWhenUsed/>
    <w:rsid w:val="003E42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297"/>
    <w:rPr>
      <w:rFonts w:asciiTheme="minorHAnsi" w:hAnsiTheme="minorHAnsi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4297"/>
    <w:rPr>
      <w:rFonts w:asciiTheme="minorHAnsi" w:hAnsiTheme="minorHAnsi"/>
      <w:b/>
      <w:bCs/>
      <w:spacing w:val="4"/>
    </w:rPr>
  </w:style>
  <w:style w:type="character" w:styleId="Hyperlink">
    <w:name w:val="Hyperlink"/>
    <w:basedOn w:val="DefaultParagraphFont"/>
    <w:unhideWhenUsed/>
    <w:rsid w:val="00733F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357D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172820"/>
    <w:rPr>
      <w:rFonts w:asciiTheme="majorHAnsi" w:hAnsiTheme="majorHAnsi"/>
      <w:spacing w:val="4"/>
      <w:sz w:val="24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6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9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79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3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37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0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ata2.unhcr.org/en/documents/details/7052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_USER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88D9A0920540758395D268D440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08B2-A09D-4CA4-8EAC-4D5FBA92C9A3}"/>
      </w:docPartPr>
      <w:docPartBody>
        <w:p w:rsidR="00F76016" w:rsidRDefault="00971FA8">
          <w:pPr>
            <w:pStyle w:val="2D88D9A0920540758395D268D440313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8"/>
    <w:rsid w:val="001078FC"/>
    <w:rsid w:val="001C42CF"/>
    <w:rsid w:val="003D3DA4"/>
    <w:rsid w:val="004F31F2"/>
    <w:rsid w:val="005C11C5"/>
    <w:rsid w:val="007D3A5B"/>
    <w:rsid w:val="007E4778"/>
    <w:rsid w:val="007F0FA8"/>
    <w:rsid w:val="008332DB"/>
    <w:rsid w:val="008742C9"/>
    <w:rsid w:val="00971FA8"/>
    <w:rsid w:val="009B7F91"/>
    <w:rsid w:val="00A50911"/>
    <w:rsid w:val="00AD0138"/>
    <w:rsid w:val="00B36FC4"/>
    <w:rsid w:val="00B973E8"/>
    <w:rsid w:val="00BB7046"/>
    <w:rsid w:val="00CB3981"/>
    <w:rsid w:val="00CF4BCA"/>
    <w:rsid w:val="00D03B4F"/>
    <w:rsid w:val="00D1225E"/>
    <w:rsid w:val="00E312B9"/>
    <w:rsid w:val="00ED0E08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1846AA53C4DEE9F08418764E9537B">
    <w:name w:val="A161846AA53C4DEE9F08418764E9537B"/>
  </w:style>
  <w:style w:type="paragraph" w:customStyle="1" w:styleId="2D88D9A0920540758395D268D440313C">
    <w:name w:val="2D88D9A0920540758395D268D440313C"/>
  </w:style>
  <w:style w:type="paragraph" w:customStyle="1" w:styleId="9B3A86F875454503AAAC8C4FC55CAA99">
    <w:name w:val="9B3A86F875454503AAAC8C4FC55CAA99"/>
  </w:style>
  <w:style w:type="paragraph" w:customStyle="1" w:styleId="BF30C422B9744F46883DB9BA3A55964F">
    <w:name w:val="BF30C422B9744F46883DB9BA3A55964F"/>
  </w:style>
  <w:style w:type="paragraph" w:customStyle="1" w:styleId="B8FA48C8B5BF4A08B1D9B3C58D3F2E8D">
    <w:name w:val="B8FA48C8B5BF4A08B1D9B3C58D3F2E8D"/>
  </w:style>
  <w:style w:type="paragraph" w:customStyle="1" w:styleId="9554B7FCD5D64EF2A1899AEA96AC1560">
    <w:name w:val="9554B7FCD5D64EF2A1899AEA96AC1560"/>
  </w:style>
  <w:style w:type="paragraph" w:customStyle="1" w:styleId="4CE3B5F33B9E44EF8667F535AF548875">
    <w:name w:val="4CE3B5F33B9E44EF8667F535AF548875"/>
  </w:style>
  <w:style w:type="paragraph" w:customStyle="1" w:styleId="8735A48339A1470391FCAD77AA3038B8">
    <w:name w:val="8735A48339A1470391FCAD77AA3038B8"/>
  </w:style>
  <w:style w:type="paragraph" w:customStyle="1" w:styleId="A4EDB14187904AD3972BBAED4DD0B677">
    <w:name w:val="A4EDB14187904AD3972BBAED4DD0B677"/>
  </w:style>
  <w:style w:type="paragraph" w:customStyle="1" w:styleId="28402050688D496BA31933F1AE51B544">
    <w:name w:val="28402050688D496BA31933F1AE51B544"/>
  </w:style>
  <w:style w:type="paragraph" w:customStyle="1" w:styleId="6BAA1AC1091E40FCA59A90C0B0EC11CA">
    <w:name w:val="6BAA1AC1091E40FCA59A90C0B0EC11CA"/>
  </w:style>
  <w:style w:type="paragraph" w:customStyle="1" w:styleId="97271B7141BE49339AE40397590D9E37">
    <w:name w:val="97271B7141BE49339AE40397590D9E37"/>
  </w:style>
  <w:style w:type="paragraph" w:customStyle="1" w:styleId="686ED7E3D5E34922A9CDA47EA17AFC41">
    <w:name w:val="686ED7E3D5E34922A9CDA47EA17AFC41"/>
  </w:style>
  <w:style w:type="paragraph" w:customStyle="1" w:styleId="8D83733B07294C9982DDA15BD9D60F96">
    <w:name w:val="8D83733B07294C9982DDA15BD9D60F96"/>
  </w:style>
  <w:style w:type="paragraph" w:customStyle="1" w:styleId="8F950DA7A4584CA9AAD32A3F4C288F3C">
    <w:name w:val="8F950DA7A4584CA9AAD32A3F4C288F3C"/>
  </w:style>
  <w:style w:type="paragraph" w:customStyle="1" w:styleId="820563F324DA4397A74C9DC0D6C6003B">
    <w:name w:val="820563F324DA4397A74C9DC0D6C6003B"/>
  </w:style>
  <w:style w:type="paragraph" w:customStyle="1" w:styleId="32EFFF1E6B064363BCD0A6F00EACADD8">
    <w:name w:val="32EFFF1E6B064363BCD0A6F00EACADD8"/>
  </w:style>
  <w:style w:type="paragraph" w:customStyle="1" w:styleId="5FD99807761341938420D5CA085775E8">
    <w:name w:val="5FD99807761341938420D5CA085775E8"/>
  </w:style>
  <w:style w:type="paragraph" w:customStyle="1" w:styleId="81F91EA7CD624EA48F36654502113795">
    <w:name w:val="81F91EA7CD624EA48F3665450211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86EAC-B89A-4041-A675-D43CF36B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127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Hillary Mumbere</dc:creator>
  <cp:keywords/>
  <dc:description/>
  <cp:lastModifiedBy>Bo Hurkmans</cp:lastModifiedBy>
  <cp:revision>7</cp:revision>
  <cp:lastPrinted>2004-01-21T19:22:00Z</cp:lastPrinted>
  <dcterms:created xsi:type="dcterms:W3CDTF">2019-08-05T09:33:00Z</dcterms:created>
  <dcterms:modified xsi:type="dcterms:W3CDTF">2019-08-05T11:42:00Z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