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0A97" w14:textId="254DD5FC" w:rsidR="002A7305" w:rsidRPr="00EF4F22" w:rsidRDefault="002A7305" w:rsidP="00180BCE">
      <w:pPr>
        <w:spacing w:after="0"/>
        <w:rPr>
          <w:lang w:val="en-GB"/>
        </w:rPr>
      </w:pPr>
      <w:r w:rsidRPr="00EF4F22">
        <w:rPr>
          <w:b/>
          <w:bCs/>
          <w:lang w:val="en-GB"/>
        </w:rPr>
        <w:t xml:space="preserve">IMWG </w:t>
      </w:r>
      <w:r w:rsidR="004A2DC0">
        <w:rPr>
          <w:b/>
          <w:bCs/>
          <w:lang w:val="en-GB"/>
        </w:rPr>
        <w:t>M</w:t>
      </w:r>
      <w:r w:rsidRPr="00EF4F22">
        <w:rPr>
          <w:b/>
          <w:bCs/>
          <w:lang w:val="en-GB"/>
        </w:rPr>
        <w:t xml:space="preserve">eeting </w:t>
      </w:r>
      <w:r w:rsidR="004A2DC0">
        <w:rPr>
          <w:b/>
          <w:bCs/>
          <w:lang w:val="en-GB"/>
        </w:rPr>
        <w:t xml:space="preserve">Minutes: </w:t>
      </w:r>
      <w:r w:rsidR="004A2DC0">
        <w:rPr>
          <w:lang w:val="en-GB"/>
        </w:rPr>
        <w:t>28</w:t>
      </w:r>
      <w:r w:rsidR="00805C8F" w:rsidRPr="00EF4F22">
        <w:rPr>
          <w:lang w:val="en-GB"/>
        </w:rPr>
        <w:t>-</w:t>
      </w:r>
      <w:r w:rsidR="00E579F8">
        <w:rPr>
          <w:lang w:val="en-GB"/>
        </w:rPr>
        <w:t>0</w:t>
      </w:r>
      <w:r w:rsidR="004A2DC0">
        <w:rPr>
          <w:lang w:val="en-GB"/>
        </w:rPr>
        <w:t>7</w:t>
      </w:r>
      <w:r w:rsidR="00431C17">
        <w:rPr>
          <w:lang w:val="en-GB"/>
        </w:rPr>
        <w:t>-2021</w:t>
      </w:r>
    </w:p>
    <w:p w14:paraId="67A99F33" w14:textId="74D18E13" w:rsidR="002A7305" w:rsidRPr="00EF4F22" w:rsidRDefault="002A7305" w:rsidP="00180BCE">
      <w:pPr>
        <w:spacing w:after="0"/>
        <w:rPr>
          <w:lang w:val="en-GB"/>
        </w:rPr>
      </w:pPr>
    </w:p>
    <w:p w14:paraId="07B7E1CC" w14:textId="197362AB" w:rsidR="002A7305" w:rsidRPr="00EF4F22" w:rsidRDefault="002A7305" w:rsidP="00180BCE">
      <w:pPr>
        <w:spacing w:after="0"/>
        <w:rPr>
          <w:b/>
          <w:bCs/>
          <w:lang w:val="en-GB"/>
        </w:rPr>
      </w:pPr>
      <w:r w:rsidRPr="00EF4F22">
        <w:rPr>
          <w:b/>
          <w:bCs/>
          <w:lang w:val="en-GB"/>
        </w:rPr>
        <w:t>Agenda:</w:t>
      </w:r>
    </w:p>
    <w:p w14:paraId="280B4BB1" w14:textId="77777777" w:rsidR="00CB24AF" w:rsidRPr="00EF4F22" w:rsidRDefault="00CB24AF" w:rsidP="0030735C">
      <w:pPr>
        <w:spacing w:after="0"/>
        <w:rPr>
          <w:lang w:val="en-GB"/>
        </w:rPr>
      </w:pPr>
    </w:p>
    <w:p w14:paraId="44A15D1C" w14:textId="77777777" w:rsidR="004A2DC0" w:rsidRPr="004A2DC0" w:rsidRDefault="004A2DC0" w:rsidP="004A2DC0">
      <w:pPr>
        <w:spacing w:after="0"/>
        <w:rPr>
          <w:lang w:val="en-GB"/>
        </w:rPr>
      </w:pPr>
      <w:r w:rsidRPr="004A2DC0">
        <w:rPr>
          <w:lang w:val="en-GB"/>
        </w:rPr>
        <w:t>1) REACH Economic Resilience Assessment</w:t>
      </w:r>
    </w:p>
    <w:p w14:paraId="7D7DC6C5" w14:textId="77777777" w:rsidR="004A2DC0" w:rsidRPr="004A2DC0" w:rsidRDefault="004A2DC0" w:rsidP="004A2DC0">
      <w:pPr>
        <w:spacing w:after="0"/>
        <w:rPr>
          <w:lang w:val="en-GB"/>
        </w:rPr>
      </w:pPr>
      <w:r w:rsidRPr="004A2DC0">
        <w:rPr>
          <w:lang w:val="en-GB"/>
        </w:rPr>
        <w:t>2) Update on Population data (Ararat)</w:t>
      </w:r>
    </w:p>
    <w:p w14:paraId="5D3F7E55" w14:textId="77777777" w:rsidR="004A2DC0" w:rsidRPr="004A2DC0" w:rsidRDefault="004A2DC0" w:rsidP="004A2DC0">
      <w:pPr>
        <w:spacing w:after="0"/>
        <w:rPr>
          <w:lang w:val="en-GB"/>
        </w:rPr>
      </w:pPr>
      <w:r w:rsidRPr="004A2DC0">
        <w:rPr>
          <w:lang w:val="en-GB"/>
        </w:rPr>
        <w:t>3) 5Ws (Oct - June) (July - Sept)</w:t>
      </w:r>
    </w:p>
    <w:p w14:paraId="67DE6C00" w14:textId="77777777" w:rsidR="004A2DC0" w:rsidRPr="004A2DC0" w:rsidRDefault="004A2DC0" w:rsidP="004A2DC0">
      <w:pPr>
        <w:spacing w:after="0"/>
        <w:rPr>
          <w:lang w:val="en-GB"/>
        </w:rPr>
      </w:pPr>
      <w:r w:rsidRPr="004A2DC0">
        <w:rPr>
          <w:lang w:val="en-GB"/>
        </w:rPr>
        <w:t>4) Agency Updates</w:t>
      </w:r>
    </w:p>
    <w:p w14:paraId="5DECF74E" w14:textId="5AE23622" w:rsidR="00F70540" w:rsidRDefault="004A2DC0" w:rsidP="004A2DC0">
      <w:pPr>
        <w:spacing w:after="0"/>
        <w:rPr>
          <w:lang w:val="en-GB"/>
        </w:rPr>
      </w:pPr>
      <w:r w:rsidRPr="004A2DC0">
        <w:rPr>
          <w:lang w:val="en-GB"/>
        </w:rPr>
        <w:t>5) A.O.B</w:t>
      </w:r>
    </w:p>
    <w:p w14:paraId="13978D5D" w14:textId="77777777" w:rsidR="00F70540" w:rsidRDefault="00F70540" w:rsidP="00F70540">
      <w:pPr>
        <w:spacing w:after="0"/>
        <w:rPr>
          <w:b/>
          <w:bCs/>
          <w:lang w:val="en-GB"/>
        </w:rPr>
      </w:pPr>
    </w:p>
    <w:p w14:paraId="1E052577" w14:textId="7AEB483E" w:rsidR="002A7305" w:rsidRPr="00EF4F22" w:rsidRDefault="00D84E8B" w:rsidP="00180BCE">
      <w:pPr>
        <w:spacing w:after="0"/>
        <w:rPr>
          <w:b/>
          <w:bCs/>
          <w:lang w:val="en-GB"/>
        </w:rPr>
      </w:pPr>
      <w:r w:rsidRPr="00EF4F22">
        <w:rPr>
          <w:b/>
          <w:bCs/>
          <w:lang w:val="en-GB"/>
        </w:rPr>
        <w:t>Attendees</w:t>
      </w:r>
      <w:r w:rsidR="00DF507D" w:rsidRPr="00EF4F22">
        <w:rPr>
          <w:b/>
          <w:bCs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0"/>
      </w:tblGrid>
      <w:tr w:rsidR="00DC47D2" w:rsidRPr="00EF4F22" w14:paraId="1F41596E" w14:textId="77777777" w:rsidTr="00431C17">
        <w:tc>
          <w:tcPr>
            <w:tcW w:w="2970" w:type="dxa"/>
            <w:shd w:val="clear" w:color="auto" w:fill="D9D9D9" w:themeFill="background1" w:themeFillShade="D9"/>
          </w:tcPr>
          <w:p w14:paraId="3FA5497E" w14:textId="77777777" w:rsidR="00DC47D2" w:rsidRPr="00431C17" w:rsidRDefault="00DC47D2" w:rsidP="00DF507D">
            <w:pPr>
              <w:rPr>
                <w:b/>
                <w:bCs/>
                <w:lang w:val="en-GB"/>
              </w:rPr>
            </w:pPr>
            <w:r w:rsidRPr="00431C17">
              <w:rPr>
                <w:b/>
                <w:bCs/>
                <w:lang w:val="en-GB"/>
              </w:rPr>
              <w:t>Name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012DA8" w14:textId="77777777" w:rsidR="00DC47D2" w:rsidRPr="00431C17" w:rsidRDefault="00DC47D2" w:rsidP="00DF507D">
            <w:pPr>
              <w:rPr>
                <w:b/>
                <w:bCs/>
                <w:lang w:val="en-GB"/>
              </w:rPr>
            </w:pPr>
            <w:r w:rsidRPr="00431C17">
              <w:rPr>
                <w:b/>
                <w:bCs/>
                <w:lang w:val="en-GB"/>
              </w:rPr>
              <w:t>Organisation</w:t>
            </w:r>
          </w:p>
        </w:tc>
      </w:tr>
      <w:tr w:rsidR="006474F0" w:rsidRPr="00EF4F22" w14:paraId="55FFA2AA" w14:textId="77777777" w:rsidTr="00431C17">
        <w:tc>
          <w:tcPr>
            <w:tcW w:w="2970" w:type="dxa"/>
          </w:tcPr>
          <w:p w14:paraId="235A5254" w14:textId="302D657E" w:rsidR="006474F0" w:rsidRPr="004A2DC0" w:rsidRDefault="006474F0" w:rsidP="006474F0">
            <w:pPr>
              <w:rPr>
                <w:lang w:val="en-GB"/>
              </w:rPr>
            </w:pPr>
            <w:r w:rsidRPr="004A2DC0">
              <w:rPr>
                <w:lang w:val="en-GB"/>
              </w:rPr>
              <w:t>Milindi Illangasinghe</w:t>
            </w:r>
          </w:p>
        </w:tc>
        <w:tc>
          <w:tcPr>
            <w:tcW w:w="2970" w:type="dxa"/>
          </w:tcPr>
          <w:p w14:paraId="5B152A2B" w14:textId="589B7022" w:rsidR="006474F0" w:rsidRPr="004A2DC0" w:rsidRDefault="006474F0" w:rsidP="006474F0">
            <w:pPr>
              <w:rPr>
                <w:lang w:val="en-GB"/>
              </w:rPr>
            </w:pPr>
            <w:r w:rsidRPr="004A2DC0">
              <w:rPr>
                <w:lang w:val="en-GB"/>
              </w:rPr>
              <w:t>UNHCR (co-chair)</w:t>
            </w:r>
          </w:p>
        </w:tc>
      </w:tr>
      <w:tr w:rsidR="004A2DC0" w:rsidRPr="00EF4F22" w14:paraId="5D89DB85" w14:textId="77777777" w:rsidTr="00431C17">
        <w:tc>
          <w:tcPr>
            <w:tcW w:w="2970" w:type="dxa"/>
          </w:tcPr>
          <w:p w14:paraId="0B9DF32D" w14:textId="458B46BD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Yurii Arnautov</w:t>
            </w:r>
          </w:p>
        </w:tc>
        <w:tc>
          <w:tcPr>
            <w:tcW w:w="2970" w:type="dxa"/>
          </w:tcPr>
          <w:p w14:paraId="4586C03E" w14:textId="392B6CCD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REACH (co-chair)</w:t>
            </w:r>
          </w:p>
        </w:tc>
      </w:tr>
      <w:tr w:rsidR="004A2DC0" w:rsidRPr="00EF4F22" w14:paraId="14E62B2D" w14:textId="77777777" w:rsidTr="00431C17">
        <w:tc>
          <w:tcPr>
            <w:tcW w:w="2970" w:type="dxa"/>
          </w:tcPr>
          <w:p w14:paraId="02DDF169" w14:textId="6B32EB6A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Frederick Cussigh</w:t>
            </w:r>
          </w:p>
        </w:tc>
        <w:tc>
          <w:tcPr>
            <w:tcW w:w="2970" w:type="dxa"/>
          </w:tcPr>
          <w:p w14:paraId="1782EDB6" w14:textId="37C162E2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UNHCR/CSG</w:t>
            </w:r>
          </w:p>
        </w:tc>
      </w:tr>
      <w:tr w:rsidR="004A2DC0" w:rsidRPr="00EF4F22" w14:paraId="3D1018B5" w14:textId="77777777" w:rsidTr="00431C17">
        <w:tc>
          <w:tcPr>
            <w:tcW w:w="2970" w:type="dxa"/>
          </w:tcPr>
          <w:p w14:paraId="7A849A11" w14:textId="6CBCED9B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Garik Khachikyan</w:t>
            </w:r>
          </w:p>
        </w:tc>
        <w:tc>
          <w:tcPr>
            <w:tcW w:w="2970" w:type="dxa"/>
          </w:tcPr>
          <w:p w14:paraId="4C17832C" w14:textId="26F44726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UNDP</w:t>
            </w:r>
          </w:p>
        </w:tc>
      </w:tr>
      <w:tr w:rsidR="004A2DC0" w:rsidRPr="00EF4F22" w14:paraId="737DAAB4" w14:textId="77777777" w:rsidTr="00431C17">
        <w:tc>
          <w:tcPr>
            <w:tcW w:w="2970" w:type="dxa"/>
          </w:tcPr>
          <w:p w14:paraId="2D90BCE9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Rima Sargsyan</w:t>
            </w:r>
          </w:p>
        </w:tc>
        <w:tc>
          <w:tcPr>
            <w:tcW w:w="2970" w:type="dxa"/>
          </w:tcPr>
          <w:p w14:paraId="24ABF25D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REACH</w:t>
            </w:r>
          </w:p>
        </w:tc>
      </w:tr>
      <w:tr w:rsidR="004A2DC0" w:rsidRPr="00EF4F22" w14:paraId="50605577" w14:textId="77777777" w:rsidTr="00431C17">
        <w:tc>
          <w:tcPr>
            <w:tcW w:w="2970" w:type="dxa"/>
          </w:tcPr>
          <w:p w14:paraId="370AC230" w14:textId="7A17D2AE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Alvard Poghosyan</w:t>
            </w:r>
          </w:p>
        </w:tc>
        <w:tc>
          <w:tcPr>
            <w:tcW w:w="2970" w:type="dxa"/>
          </w:tcPr>
          <w:p w14:paraId="32C87C96" w14:textId="11B4DBF1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UNICEF</w:t>
            </w:r>
          </w:p>
        </w:tc>
      </w:tr>
      <w:tr w:rsidR="004A2DC0" w:rsidRPr="00EF4F22" w14:paraId="372717DC" w14:textId="77777777" w:rsidTr="00431C17">
        <w:tc>
          <w:tcPr>
            <w:tcW w:w="2970" w:type="dxa"/>
          </w:tcPr>
          <w:p w14:paraId="1ABBA14E" w14:textId="09ACA954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Varduhi Martirosyan</w:t>
            </w:r>
          </w:p>
        </w:tc>
        <w:tc>
          <w:tcPr>
            <w:tcW w:w="2970" w:type="dxa"/>
          </w:tcPr>
          <w:p w14:paraId="2B27F678" w14:textId="20F6E42C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UNICEF</w:t>
            </w:r>
          </w:p>
        </w:tc>
      </w:tr>
      <w:tr w:rsidR="004A2DC0" w:rsidRPr="00EF4F22" w14:paraId="553C7B48" w14:textId="77777777" w:rsidTr="00431C17">
        <w:tc>
          <w:tcPr>
            <w:tcW w:w="2970" w:type="dxa"/>
          </w:tcPr>
          <w:p w14:paraId="17A1CA0D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Astghik Ghevondyan</w:t>
            </w:r>
          </w:p>
        </w:tc>
        <w:tc>
          <w:tcPr>
            <w:tcW w:w="2970" w:type="dxa"/>
          </w:tcPr>
          <w:p w14:paraId="34D11C6E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UNHCR</w:t>
            </w:r>
          </w:p>
        </w:tc>
      </w:tr>
      <w:tr w:rsidR="004A2DC0" w:rsidRPr="00EF4F22" w14:paraId="3ECBAAF7" w14:textId="77777777" w:rsidTr="00431C17">
        <w:tc>
          <w:tcPr>
            <w:tcW w:w="2970" w:type="dxa"/>
          </w:tcPr>
          <w:p w14:paraId="0C525266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Lousine Aroyan</w:t>
            </w:r>
          </w:p>
        </w:tc>
        <w:tc>
          <w:tcPr>
            <w:tcW w:w="2970" w:type="dxa"/>
          </w:tcPr>
          <w:p w14:paraId="4D2FD358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UNHCR</w:t>
            </w:r>
          </w:p>
        </w:tc>
      </w:tr>
      <w:tr w:rsidR="004A2DC0" w:rsidRPr="00EF4F22" w14:paraId="1C97F06A" w14:textId="77777777" w:rsidTr="00431C17">
        <w:tc>
          <w:tcPr>
            <w:tcW w:w="2970" w:type="dxa"/>
          </w:tcPr>
          <w:p w14:paraId="3D2151EA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Astghik Martirosyan</w:t>
            </w:r>
          </w:p>
        </w:tc>
        <w:tc>
          <w:tcPr>
            <w:tcW w:w="2970" w:type="dxa"/>
          </w:tcPr>
          <w:p w14:paraId="425045F0" w14:textId="77777777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UNICEF</w:t>
            </w:r>
          </w:p>
        </w:tc>
      </w:tr>
      <w:tr w:rsidR="004A2DC0" w:rsidRPr="00EF4F22" w14:paraId="087AD5DB" w14:textId="77777777" w:rsidTr="00431C17">
        <w:tc>
          <w:tcPr>
            <w:tcW w:w="2970" w:type="dxa"/>
          </w:tcPr>
          <w:p w14:paraId="7F6D51F4" w14:textId="60A2AF19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Yogesh Gyawali</w:t>
            </w:r>
          </w:p>
        </w:tc>
        <w:tc>
          <w:tcPr>
            <w:tcW w:w="2970" w:type="dxa"/>
          </w:tcPr>
          <w:p w14:paraId="1FEDFFCB" w14:textId="5C244E76" w:rsidR="004A2DC0" w:rsidRPr="004A2DC0" w:rsidRDefault="004A2DC0" w:rsidP="004A2DC0">
            <w:pPr>
              <w:rPr>
                <w:lang w:val="en-GB"/>
              </w:rPr>
            </w:pPr>
            <w:r w:rsidRPr="004A2DC0">
              <w:rPr>
                <w:lang w:val="en-GB"/>
              </w:rPr>
              <w:t>UNHCR</w:t>
            </w:r>
          </w:p>
        </w:tc>
      </w:tr>
    </w:tbl>
    <w:p w14:paraId="1EA554CB" w14:textId="7D886B49" w:rsidR="002A7305" w:rsidRPr="00EF4F22" w:rsidRDefault="002A7305" w:rsidP="00AD5E2F">
      <w:pPr>
        <w:spacing w:after="0" w:line="240" w:lineRule="auto"/>
        <w:rPr>
          <w:lang w:val="en-GB"/>
        </w:rPr>
      </w:pPr>
    </w:p>
    <w:p w14:paraId="44FD905C" w14:textId="77777777" w:rsidR="00226432" w:rsidRPr="00EF4F22" w:rsidRDefault="00226432" w:rsidP="00180BCE">
      <w:pPr>
        <w:spacing w:after="0"/>
        <w:rPr>
          <w:b/>
          <w:bCs/>
          <w:lang w:val="en-GB"/>
        </w:rPr>
      </w:pPr>
    </w:p>
    <w:p w14:paraId="7588CE5F" w14:textId="7D7547F8" w:rsidR="00180BCE" w:rsidRPr="00EF4F22" w:rsidRDefault="00180BCE" w:rsidP="00180BCE">
      <w:pPr>
        <w:spacing w:after="0"/>
        <w:rPr>
          <w:b/>
          <w:bCs/>
          <w:lang w:val="en-GB"/>
        </w:rPr>
      </w:pPr>
      <w:r w:rsidRPr="00EF4F22">
        <w:rPr>
          <w:b/>
          <w:bCs/>
          <w:lang w:val="en-GB"/>
        </w:rPr>
        <w:t xml:space="preserve">1. </w:t>
      </w:r>
      <w:r w:rsidR="004A2DC0" w:rsidRPr="004A2DC0">
        <w:rPr>
          <w:b/>
          <w:bCs/>
          <w:lang w:val="en-GB"/>
        </w:rPr>
        <w:t xml:space="preserve">REACH </w:t>
      </w:r>
      <w:bookmarkStart w:id="0" w:name="_Hlk78905197"/>
      <w:r w:rsidR="004A2DC0" w:rsidRPr="004A2DC0">
        <w:rPr>
          <w:b/>
          <w:bCs/>
          <w:lang w:val="en-GB"/>
        </w:rPr>
        <w:t>Economic Resilience Assessment</w:t>
      </w:r>
      <w:bookmarkEnd w:id="0"/>
    </w:p>
    <w:p w14:paraId="2209CF76" w14:textId="77777777" w:rsidR="00A3781F" w:rsidRDefault="00A3781F" w:rsidP="00A3781F">
      <w:pPr>
        <w:spacing w:after="0"/>
        <w:jc w:val="both"/>
        <w:rPr>
          <w:lang w:val="en-GB"/>
        </w:rPr>
      </w:pPr>
    </w:p>
    <w:p w14:paraId="174C8EF2" w14:textId="70D9B898" w:rsidR="00AD5E2F" w:rsidRPr="00A3781F" w:rsidRDefault="004A2DC0" w:rsidP="00A3781F">
      <w:pPr>
        <w:spacing w:after="0"/>
        <w:jc w:val="both"/>
        <w:rPr>
          <w:lang w:val="en-GB"/>
        </w:rPr>
      </w:pPr>
      <w:r>
        <w:rPr>
          <w:lang w:val="en-GB"/>
        </w:rPr>
        <w:t xml:space="preserve">Rima </w:t>
      </w:r>
      <w:r w:rsidR="00003AD2" w:rsidRPr="00A3781F">
        <w:rPr>
          <w:lang w:val="en-GB"/>
        </w:rPr>
        <w:t xml:space="preserve">presented </w:t>
      </w:r>
      <w:r w:rsidR="001179FD">
        <w:rPr>
          <w:lang w:val="en-GB"/>
        </w:rPr>
        <w:t>t</w:t>
      </w:r>
      <w:r w:rsidR="00003AD2" w:rsidRPr="00A3781F">
        <w:rPr>
          <w:lang w:val="en-GB"/>
        </w:rPr>
        <w:t xml:space="preserve">he </w:t>
      </w:r>
      <w:r>
        <w:rPr>
          <w:lang w:val="en-GB"/>
        </w:rPr>
        <w:t>Economic Resilience Assessment:</w:t>
      </w:r>
    </w:p>
    <w:p w14:paraId="6F149B40" w14:textId="7CD8D832" w:rsidR="00AD5E2F" w:rsidRPr="00EF4F22" w:rsidRDefault="00E65A95" w:rsidP="00702D43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Objective of the assessment; aims to identify challenges the refugee-like population is having finding a job or starting an income generating activity</w:t>
      </w:r>
      <w:r w:rsidR="001179FD">
        <w:rPr>
          <w:lang w:val="en-GB"/>
        </w:rPr>
        <w:t>.</w:t>
      </w:r>
      <w:r>
        <w:rPr>
          <w:lang w:val="en-GB"/>
        </w:rPr>
        <w:t xml:space="preserve"> </w:t>
      </w:r>
    </w:p>
    <w:p w14:paraId="43927388" w14:textId="570F45AE" w:rsidR="00E65A95" w:rsidRDefault="00E65A95" w:rsidP="00702D43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Assessment is not quantitative, it will be more qualitative.</w:t>
      </w:r>
    </w:p>
    <w:p w14:paraId="7FF104A4" w14:textId="2688395B" w:rsidR="00E65A95" w:rsidRDefault="00E65A95" w:rsidP="00702D43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Assessment be conducted in 5 regions: Yerevan, Syunik, Kotayk, Lori and Ararat. To reflect major populations and also cover northern regions.</w:t>
      </w:r>
    </w:p>
    <w:p w14:paraId="028E02E8" w14:textId="2789207B" w:rsidR="00E65A95" w:rsidRDefault="00E65A95" w:rsidP="00702D43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21 focus group discussions, for 3 groups; refugee-like, host population, social workers and implement centre officers.</w:t>
      </w:r>
    </w:p>
    <w:p w14:paraId="52AFD2DE" w14:textId="4453FAC1" w:rsidR="00E65A95" w:rsidRDefault="00E65A95" w:rsidP="00702D43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Started full planning of assessment, focus group discussions have started on 15</w:t>
      </w:r>
      <w:r w:rsidRPr="00E65A95">
        <w:rPr>
          <w:vertAlign w:val="superscript"/>
          <w:lang w:val="en-GB"/>
        </w:rPr>
        <w:t>th</w:t>
      </w:r>
      <w:r>
        <w:rPr>
          <w:lang w:val="en-GB"/>
        </w:rPr>
        <w:t xml:space="preserve"> July. </w:t>
      </w:r>
    </w:p>
    <w:p w14:paraId="5BD8EA3C" w14:textId="5BD2C485" w:rsidR="00AD5E2F" w:rsidRPr="00EF4F22" w:rsidRDefault="00E65A95" w:rsidP="00702D43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Preliminary findings will be shared immediately, through the IMWG. </w:t>
      </w:r>
    </w:p>
    <w:p w14:paraId="438B4BD8" w14:textId="5D502B1F" w:rsidR="00E137B7" w:rsidRDefault="00E65A95" w:rsidP="00003AD2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TOR for the </w:t>
      </w:r>
      <w:r w:rsidRPr="00E65A95">
        <w:rPr>
          <w:lang w:val="en-GB"/>
        </w:rPr>
        <w:t>Economic Resilience Assessment</w:t>
      </w:r>
      <w:r w:rsidR="0017397D">
        <w:rPr>
          <w:lang w:val="en-GB"/>
        </w:rPr>
        <w:t xml:space="preserve"> is available here: </w:t>
      </w:r>
      <w:hyperlink r:id="rId6" w:history="1">
        <w:r w:rsidR="0017397D" w:rsidRPr="00B84DE4">
          <w:rPr>
            <w:rStyle w:val="Hyperlink"/>
            <w:lang w:val="en-GB"/>
          </w:rPr>
          <w:t>https://data2.unhcr.org/en/documents/details/87814</w:t>
        </w:r>
      </w:hyperlink>
      <w:r w:rsidR="0017397D">
        <w:rPr>
          <w:lang w:val="en-GB"/>
        </w:rPr>
        <w:t xml:space="preserve"> </w:t>
      </w:r>
    </w:p>
    <w:p w14:paraId="6793218C" w14:textId="26B692E0" w:rsidR="0017397D" w:rsidRPr="00EF4F22" w:rsidRDefault="0017397D" w:rsidP="00003AD2">
      <w:pPr>
        <w:pStyle w:val="ListParagraph"/>
        <w:numPr>
          <w:ilvl w:val="0"/>
          <w:numId w:val="3"/>
        </w:numPr>
        <w:spacing w:after="0"/>
        <w:jc w:val="both"/>
        <w:rPr>
          <w:rStyle w:val="Hyperlink"/>
          <w:color w:val="auto"/>
          <w:u w:val="none"/>
          <w:lang w:val="en-GB"/>
        </w:rPr>
      </w:pPr>
      <w:r>
        <w:rPr>
          <w:lang w:val="en-GB"/>
        </w:rPr>
        <w:t>By the end of August, complete findings and report will be posted.</w:t>
      </w:r>
    </w:p>
    <w:p w14:paraId="5A64D400" w14:textId="3DAC5101" w:rsidR="00AD5E2F" w:rsidRPr="00003AD2" w:rsidRDefault="00AD5E2F" w:rsidP="00003AD2">
      <w:pPr>
        <w:spacing w:after="0"/>
        <w:jc w:val="both"/>
        <w:rPr>
          <w:b/>
          <w:bCs/>
          <w:lang w:val="en-GB"/>
        </w:rPr>
      </w:pPr>
    </w:p>
    <w:p w14:paraId="6F874049" w14:textId="7618EE41" w:rsidR="00805C8F" w:rsidRDefault="00805C8F" w:rsidP="00702D43">
      <w:pPr>
        <w:spacing w:after="0"/>
        <w:jc w:val="both"/>
        <w:rPr>
          <w:b/>
          <w:bCs/>
          <w:lang w:val="en-GB"/>
        </w:rPr>
      </w:pPr>
      <w:r w:rsidRPr="00EF4F22">
        <w:rPr>
          <w:b/>
          <w:bCs/>
          <w:lang w:val="en-GB"/>
        </w:rPr>
        <w:t xml:space="preserve">2. </w:t>
      </w:r>
      <w:r w:rsidR="004A2DC0" w:rsidRPr="004A2DC0">
        <w:rPr>
          <w:b/>
          <w:bCs/>
          <w:lang w:val="en-GB"/>
        </w:rPr>
        <w:t>Update on Population data (Ararat)</w:t>
      </w:r>
    </w:p>
    <w:p w14:paraId="5CE7970D" w14:textId="77777777" w:rsidR="005B0C6D" w:rsidRPr="00EF4F22" w:rsidRDefault="005B0C6D" w:rsidP="00702D43">
      <w:pPr>
        <w:spacing w:after="0"/>
        <w:jc w:val="both"/>
        <w:rPr>
          <w:b/>
          <w:bCs/>
          <w:lang w:val="en-GB"/>
        </w:rPr>
      </w:pPr>
    </w:p>
    <w:p w14:paraId="045C70B7" w14:textId="77777777" w:rsidR="005B0C6D" w:rsidRDefault="00003AD2" w:rsidP="005B0C6D">
      <w:pPr>
        <w:spacing w:after="0"/>
        <w:jc w:val="both"/>
        <w:rPr>
          <w:lang w:val="en-GB"/>
        </w:rPr>
      </w:pPr>
      <w:r w:rsidRPr="005B0C6D">
        <w:rPr>
          <w:lang w:val="en-GB"/>
        </w:rPr>
        <w:t xml:space="preserve">Mil (IMWG) presented the current state of population data. </w:t>
      </w:r>
    </w:p>
    <w:p w14:paraId="5521D392" w14:textId="77777777" w:rsidR="0017397D" w:rsidRDefault="0017397D" w:rsidP="005B0C6D">
      <w:pPr>
        <w:pStyle w:val="ListParagraph"/>
        <w:numPr>
          <w:ilvl w:val="0"/>
          <w:numId w:val="14"/>
        </w:numPr>
        <w:spacing w:after="0"/>
        <w:jc w:val="both"/>
        <w:rPr>
          <w:lang w:val="en-GB"/>
        </w:rPr>
      </w:pPr>
      <w:r>
        <w:rPr>
          <w:lang w:val="en-GB"/>
        </w:rPr>
        <w:lastRenderedPageBreak/>
        <w:t>For the IARP Revision, the figure of 37,000 refugee-like is being used</w:t>
      </w:r>
    </w:p>
    <w:p w14:paraId="2B064B3D" w14:textId="3320B79E" w:rsidR="005B0C6D" w:rsidRDefault="0017397D" w:rsidP="005B0C6D">
      <w:pPr>
        <w:pStyle w:val="ListParagraph"/>
        <w:numPr>
          <w:ilvl w:val="0"/>
          <w:numId w:val="14"/>
        </w:numPr>
        <w:spacing w:after="0"/>
        <w:jc w:val="both"/>
        <w:rPr>
          <w:lang w:val="en-GB"/>
        </w:rPr>
      </w:pPr>
      <w:r>
        <w:rPr>
          <w:lang w:val="en-GB"/>
        </w:rPr>
        <w:t>IMWG has a new update on population figures in Ararat, will share shortly</w:t>
      </w:r>
      <w:r w:rsidR="001179FD">
        <w:rPr>
          <w:lang w:val="en-GB"/>
        </w:rPr>
        <w:t xml:space="preserve"> </w:t>
      </w:r>
    </w:p>
    <w:p w14:paraId="3F7411F1" w14:textId="07F1BC7D" w:rsidR="0017397D" w:rsidRDefault="0017397D" w:rsidP="001179FD">
      <w:pPr>
        <w:pStyle w:val="ListParagraph"/>
        <w:numPr>
          <w:ilvl w:val="0"/>
          <w:numId w:val="14"/>
        </w:numPr>
        <w:spacing w:after="0"/>
        <w:jc w:val="both"/>
        <w:rPr>
          <w:lang w:val="en-GB"/>
        </w:rPr>
      </w:pPr>
      <w:r>
        <w:rPr>
          <w:lang w:val="en-GB"/>
        </w:rPr>
        <w:t>The NK de-facto authorities have published a figure of 25,000, however these figures are too l</w:t>
      </w:r>
      <w:r w:rsidR="00993F7F">
        <w:rPr>
          <w:lang w:val="en-GB"/>
        </w:rPr>
        <w:t xml:space="preserve">ow based on the population data gathered by the IMWG and Protection Monitoring. There will be different population figures presented by the </w:t>
      </w:r>
      <w:r w:rsidR="005C4264">
        <w:rPr>
          <w:lang w:val="en-GB"/>
        </w:rPr>
        <w:t xml:space="preserve">various </w:t>
      </w:r>
      <w:r w:rsidR="00993F7F">
        <w:rPr>
          <w:lang w:val="en-GB"/>
        </w:rPr>
        <w:t>government departments</w:t>
      </w:r>
      <w:r w:rsidR="005C4264">
        <w:rPr>
          <w:lang w:val="en-GB"/>
        </w:rPr>
        <w:t>, but it is best to use the IMWG figures.</w:t>
      </w:r>
    </w:p>
    <w:p w14:paraId="07590910" w14:textId="7DDE4E39" w:rsidR="007E0A8C" w:rsidRPr="00A3781F" w:rsidRDefault="007E0A8C" w:rsidP="00A3781F">
      <w:pPr>
        <w:spacing w:after="0"/>
        <w:rPr>
          <w:lang w:val="en-GB"/>
        </w:rPr>
      </w:pPr>
    </w:p>
    <w:p w14:paraId="129BE488" w14:textId="737A9363" w:rsidR="002A35D0" w:rsidRPr="001B0784" w:rsidRDefault="00805C8F" w:rsidP="00A3781F">
      <w:pPr>
        <w:spacing w:after="0"/>
        <w:jc w:val="both"/>
        <w:rPr>
          <w:b/>
          <w:bCs/>
          <w:lang w:val="en-GB"/>
        </w:rPr>
      </w:pPr>
      <w:r w:rsidRPr="001B0784">
        <w:rPr>
          <w:b/>
          <w:bCs/>
          <w:lang w:val="en-GB"/>
        </w:rPr>
        <w:t>3</w:t>
      </w:r>
      <w:r w:rsidR="005C6B11" w:rsidRPr="001B0784">
        <w:rPr>
          <w:b/>
          <w:bCs/>
          <w:lang w:val="en-GB"/>
        </w:rPr>
        <w:t xml:space="preserve">. </w:t>
      </w:r>
      <w:r w:rsidR="004A2DC0" w:rsidRPr="004A2DC0">
        <w:rPr>
          <w:b/>
          <w:bCs/>
          <w:lang w:val="en-GB"/>
        </w:rPr>
        <w:t>5Ws (Oct - June) (July - Sept)</w:t>
      </w:r>
    </w:p>
    <w:p w14:paraId="1630FB16" w14:textId="77777777" w:rsidR="00A3781F" w:rsidRDefault="00A3781F" w:rsidP="00A3781F">
      <w:pPr>
        <w:spacing w:after="0"/>
        <w:jc w:val="both"/>
        <w:rPr>
          <w:lang w:val="en-GB"/>
        </w:rPr>
      </w:pPr>
    </w:p>
    <w:p w14:paraId="21AB5474" w14:textId="5D341FED" w:rsidR="00A3781F" w:rsidRDefault="005C4264" w:rsidP="00A3781F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IMWG has been trying to compile data from the </w:t>
      </w:r>
      <w:r w:rsidR="0093427E">
        <w:rPr>
          <w:lang w:val="en-GB"/>
        </w:rPr>
        <w:t>IARP from Oct 2020 – June 2021</w:t>
      </w:r>
      <w:r w:rsidR="001179FD">
        <w:rPr>
          <w:lang w:val="en-GB"/>
        </w:rPr>
        <w:t>.</w:t>
      </w:r>
    </w:p>
    <w:p w14:paraId="33B9BC70" w14:textId="61422292" w:rsidR="0093427E" w:rsidRDefault="0093427E" w:rsidP="00A3781F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For the next IARP revision (July – Sept 2021), 5W reporting will only have to be done once for the entire period</w:t>
      </w:r>
    </w:p>
    <w:p w14:paraId="06690F4A" w14:textId="07EABEB9" w:rsidR="0093427E" w:rsidRDefault="0093427E" w:rsidP="00A3781F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Astghik (UNICEF) asked if there will be only 5W for all WGs. Milindi replied that there will be less 5Ws as some of the sub-WGs have been incorporated into the main WGs. </w:t>
      </w:r>
    </w:p>
    <w:p w14:paraId="0DCC6532" w14:textId="027CAED6" w:rsidR="0093427E" w:rsidRDefault="0093427E" w:rsidP="00A3781F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Garik (UNDP) asked if the IARP is extended for 6 months, what are the reporting periods. Milindi explained that there will be a mid-term review at the end of September and then a final report in December 2021.</w:t>
      </w:r>
    </w:p>
    <w:p w14:paraId="044BE7E4" w14:textId="20E43343" w:rsidR="0093427E" w:rsidRDefault="00783811" w:rsidP="00A3781F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>IMWG is happy to support all organisation and WGs with filling in the 5Ws.</w:t>
      </w:r>
    </w:p>
    <w:p w14:paraId="6D8F5BE4" w14:textId="4DE7070B" w:rsidR="00783811" w:rsidRDefault="00783811" w:rsidP="00A3781F">
      <w:pPr>
        <w:pStyle w:val="ListParagraph"/>
        <w:numPr>
          <w:ilvl w:val="0"/>
          <w:numId w:val="1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Yogesh (UNHCR/CSG) supported the need to have standardised reporting to ensure all activities are tracked and future funding can be based on </w:t>
      </w:r>
      <w:r w:rsidR="00D22483">
        <w:rPr>
          <w:lang w:val="en-GB"/>
        </w:rPr>
        <w:t>programming conducted.</w:t>
      </w:r>
    </w:p>
    <w:p w14:paraId="5F15E434" w14:textId="77777777" w:rsidR="005B0C6D" w:rsidRDefault="005B0C6D" w:rsidP="00C25A8A">
      <w:pPr>
        <w:spacing w:after="0"/>
        <w:jc w:val="both"/>
        <w:rPr>
          <w:b/>
          <w:bCs/>
          <w:lang w:val="en-GB"/>
        </w:rPr>
      </w:pPr>
    </w:p>
    <w:p w14:paraId="3A5CD334" w14:textId="58710011" w:rsidR="00E46AFB" w:rsidRDefault="005C6B11" w:rsidP="00C25A8A">
      <w:pPr>
        <w:spacing w:after="0"/>
        <w:jc w:val="both"/>
        <w:rPr>
          <w:b/>
          <w:bCs/>
          <w:lang w:val="en-GB"/>
        </w:rPr>
      </w:pPr>
      <w:r w:rsidRPr="00EF4F22">
        <w:rPr>
          <w:b/>
          <w:bCs/>
          <w:lang w:val="en-GB"/>
        </w:rPr>
        <w:t xml:space="preserve">4. </w:t>
      </w:r>
      <w:r w:rsidR="004A2DC0" w:rsidRPr="004A2DC0">
        <w:rPr>
          <w:b/>
          <w:bCs/>
          <w:lang w:val="en-GB"/>
        </w:rPr>
        <w:t>Agency Updates</w:t>
      </w:r>
    </w:p>
    <w:p w14:paraId="74193AD6" w14:textId="2F6D1D6C" w:rsidR="005B0C6D" w:rsidRDefault="005B0C6D" w:rsidP="00C25A8A">
      <w:pPr>
        <w:spacing w:after="0"/>
        <w:jc w:val="both"/>
        <w:rPr>
          <w:b/>
          <w:bCs/>
          <w:lang w:val="en-GB"/>
        </w:rPr>
      </w:pPr>
    </w:p>
    <w:p w14:paraId="080E929A" w14:textId="2A89F3BA" w:rsidR="001179FD" w:rsidRDefault="00D22483" w:rsidP="00D22483">
      <w:pPr>
        <w:pStyle w:val="ListParagraph"/>
        <w:numPr>
          <w:ilvl w:val="0"/>
          <w:numId w:val="16"/>
        </w:numPr>
        <w:spacing w:after="0"/>
        <w:jc w:val="both"/>
        <w:rPr>
          <w:lang w:val="en-GB"/>
        </w:rPr>
      </w:pPr>
      <w:r w:rsidRPr="00D22483">
        <w:rPr>
          <w:lang w:val="en-GB"/>
        </w:rPr>
        <w:t>G</w:t>
      </w:r>
      <w:r>
        <w:rPr>
          <w:lang w:val="en-GB"/>
        </w:rPr>
        <w:t>arik (UNDP), the Capacity and Vulnerability Assessment has completed data collection. They will start to share information and reports mid-August.</w:t>
      </w:r>
    </w:p>
    <w:p w14:paraId="480908F6" w14:textId="105367F5" w:rsidR="00D22483" w:rsidRPr="00D22483" w:rsidRDefault="00D22483" w:rsidP="00D22483">
      <w:pPr>
        <w:pStyle w:val="ListParagraph"/>
        <w:numPr>
          <w:ilvl w:val="0"/>
          <w:numId w:val="16"/>
        </w:numPr>
        <w:spacing w:after="0"/>
        <w:jc w:val="both"/>
        <w:rPr>
          <w:lang w:val="en-GB"/>
        </w:rPr>
      </w:pPr>
      <w:r>
        <w:rPr>
          <w:lang w:val="en-GB"/>
        </w:rPr>
        <w:t>Astghik (UNICEF) the post distribution monitoring for cash has been completed. The presentation is being translated and will be shared soon.</w:t>
      </w:r>
    </w:p>
    <w:p w14:paraId="0DFF9C6D" w14:textId="77777777" w:rsidR="001179FD" w:rsidRPr="001179FD" w:rsidRDefault="001179FD" w:rsidP="00C25A8A">
      <w:pPr>
        <w:spacing w:after="0"/>
        <w:jc w:val="both"/>
        <w:rPr>
          <w:lang w:val="en-GB"/>
        </w:rPr>
      </w:pPr>
    </w:p>
    <w:p w14:paraId="02B2C0A8" w14:textId="77777777" w:rsidR="002A35D0" w:rsidRPr="00EF4F22" w:rsidRDefault="002A35D0" w:rsidP="00C25A8A">
      <w:pPr>
        <w:spacing w:after="0"/>
        <w:jc w:val="both"/>
        <w:rPr>
          <w:b/>
          <w:bCs/>
          <w:lang w:val="en-GB"/>
        </w:rPr>
      </w:pPr>
    </w:p>
    <w:p w14:paraId="467D9BAD" w14:textId="1F9D02B0" w:rsidR="00E46AFB" w:rsidRPr="00EF4F22" w:rsidRDefault="005C6B11" w:rsidP="00C25A8A">
      <w:pPr>
        <w:spacing w:after="0"/>
        <w:jc w:val="both"/>
        <w:rPr>
          <w:b/>
          <w:bCs/>
          <w:lang w:val="en-GB"/>
        </w:rPr>
      </w:pPr>
      <w:r w:rsidRPr="00EF4F22">
        <w:rPr>
          <w:b/>
          <w:bCs/>
          <w:lang w:val="en-GB"/>
        </w:rPr>
        <w:t xml:space="preserve">5. </w:t>
      </w:r>
      <w:r w:rsidR="001179FD">
        <w:rPr>
          <w:b/>
          <w:bCs/>
          <w:lang w:val="en-GB"/>
        </w:rPr>
        <w:t>A.O.B</w:t>
      </w:r>
    </w:p>
    <w:p w14:paraId="6C389FF1" w14:textId="77777777" w:rsidR="00CA1F72" w:rsidRPr="00EF4F22" w:rsidRDefault="00CA1F72" w:rsidP="00C25A8A">
      <w:pPr>
        <w:spacing w:after="0"/>
        <w:jc w:val="both"/>
        <w:rPr>
          <w:b/>
          <w:bCs/>
          <w:lang w:val="en-GB"/>
        </w:rPr>
      </w:pPr>
    </w:p>
    <w:p w14:paraId="642805D6" w14:textId="5547EA83" w:rsidR="00F35071" w:rsidRDefault="00D22483" w:rsidP="00CA1F72">
      <w:pPr>
        <w:pStyle w:val="ListParagraph"/>
        <w:numPr>
          <w:ilvl w:val="0"/>
          <w:numId w:val="7"/>
        </w:numPr>
        <w:spacing w:after="0"/>
        <w:jc w:val="both"/>
        <w:rPr>
          <w:lang w:val="en-GB"/>
        </w:rPr>
      </w:pPr>
      <w:r>
        <w:rPr>
          <w:lang w:val="en-GB"/>
        </w:rPr>
        <w:t>No A.O.B</w:t>
      </w:r>
    </w:p>
    <w:p w14:paraId="576D5A05" w14:textId="77777777" w:rsidR="001179FD" w:rsidRPr="00EF4F22" w:rsidRDefault="001179FD" w:rsidP="00F35071">
      <w:pPr>
        <w:pStyle w:val="ListParagraph"/>
        <w:spacing w:after="0"/>
        <w:jc w:val="both"/>
        <w:rPr>
          <w:lang w:val="en-GB"/>
        </w:rPr>
      </w:pPr>
    </w:p>
    <w:p w14:paraId="279DD97C" w14:textId="77777777" w:rsidR="00CA1F72" w:rsidRPr="00EF4F22" w:rsidRDefault="00CA1F72" w:rsidP="00CA1F72">
      <w:pPr>
        <w:spacing w:after="0"/>
        <w:jc w:val="both"/>
        <w:rPr>
          <w:lang w:val="en-GB"/>
        </w:rPr>
      </w:pPr>
    </w:p>
    <w:sectPr w:rsidR="00CA1F72" w:rsidRPr="00EF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BCA"/>
    <w:multiLevelType w:val="hybridMultilevel"/>
    <w:tmpl w:val="A730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239F"/>
    <w:multiLevelType w:val="hybridMultilevel"/>
    <w:tmpl w:val="3462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6D90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077"/>
    <w:multiLevelType w:val="hybridMultilevel"/>
    <w:tmpl w:val="618CA62A"/>
    <w:lvl w:ilvl="0" w:tplc="0A64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6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E2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E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A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9D36F4"/>
    <w:multiLevelType w:val="hybridMultilevel"/>
    <w:tmpl w:val="A5F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6BE"/>
    <w:multiLevelType w:val="hybridMultilevel"/>
    <w:tmpl w:val="C51A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170B"/>
    <w:multiLevelType w:val="hybridMultilevel"/>
    <w:tmpl w:val="6E7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3C3E"/>
    <w:multiLevelType w:val="hybridMultilevel"/>
    <w:tmpl w:val="CC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5A3B"/>
    <w:multiLevelType w:val="hybridMultilevel"/>
    <w:tmpl w:val="A1DC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7979"/>
    <w:multiLevelType w:val="hybridMultilevel"/>
    <w:tmpl w:val="CC24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737A3"/>
    <w:multiLevelType w:val="hybridMultilevel"/>
    <w:tmpl w:val="4624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1F9"/>
    <w:multiLevelType w:val="hybridMultilevel"/>
    <w:tmpl w:val="FBC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84F9F"/>
    <w:multiLevelType w:val="hybridMultilevel"/>
    <w:tmpl w:val="928A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5E13"/>
    <w:multiLevelType w:val="hybridMultilevel"/>
    <w:tmpl w:val="9A1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7CFE"/>
    <w:multiLevelType w:val="hybridMultilevel"/>
    <w:tmpl w:val="CAE6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5807"/>
    <w:multiLevelType w:val="hybridMultilevel"/>
    <w:tmpl w:val="8F7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931DF"/>
    <w:multiLevelType w:val="hybridMultilevel"/>
    <w:tmpl w:val="042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05"/>
    <w:rsid w:val="00003AD2"/>
    <w:rsid w:val="00103549"/>
    <w:rsid w:val="001179FD"/>
    <w:rsid w:val="0016576C"/>
    <w:rsid w:val="0017397D"/>
    <w:rsid w:val="00180BCE"/>
    <w:rsid w:val="00181DE7"/>
    <w:rsid w:val="001824F6"/>
    <w:rsid w:val="001B0784"/>
    <w:rsid w:val="001F4851"/>
    <w:rsid w:val="002027A6"/>
    <w:rsid w:val="00207D33"/>
    <w:rsid w:val="00226432"/>
    <w:rsid w:val="002A35D0"/>
    <w:rsid w:val="002A7305"/>
    <w:rsid w:val="002A7865"/>
    <w:rsid w:val="002F198A"/>
    <w:rsid w:val="0030735C"/>
    <w:rsid w:val="003C7FD0"/>
    <w:rsid w:val="003E011C"/>
    <w:rsid w:val="0042519C"/>
    <w:rsid w:val="00431C17"/>
    <w:rsid w:val="00441859"/>
    <w:rsid w:val="004A2DC0"/>
    <w:rsid w:val="004C7E49"/>
    <w:rsid w:val="00504198"/>
    <w:rsid w:val="00531277"/>
    <w:rsid w:val="00557A30"/>
    <w:rsid w:val="00594895"/>
    <w:rsid w:val="005B0C6D"/>
    <w:rsid w:val="005C4264"/>
    <w:rsid w:val="005C6B11"/>
    <w:rsid w:val="005D1504"/>
    <w:rsid w:val="005E22FD"/>
    <w:rsid w:val="0061528C"/>
    <w:rsid w:val="006474F0"/>
    <w:rsid w:val="00673ADE"/>
    <w:rsid w:val="006C630A"/>
    <w:rsid w:val="00702D43"/>
    <w:rsid w:val="007038AA"/>
    <w:rsid w:val="007630AC"/>
    <w:rsid w:val="00783811"/>
    <w:rsid w:val="007C3328"/>
    <w:rsid w:val="007D5F46"/>
    <w:rsid w:val="007E0A8C"/>
    <w:rsid w:val="0080053F"/>
    <w:rsid w:val="00805246"/>
    <w:rsid w:val="00805C8F"/>
    <w:rsid w:val="00855685"/>
    <w:rsid w:val="008778BF"/>
    <w:rsid w:val="00897C37"/>
    <w:rsid w:val="008B3E24"/>
    <w:rsid w:val="008C0D08"/>
    <w:rsid w:val="008E4FA8"/>
    <w:rsid w:val="00905A98"/>
    <w:rsid w:val="0093427E"/>
    <w:rsid w:val="00993F7F"/>
    <w:rsid w:val="00A07067"/>
    <w:rsid w:val="00A3781F"/>
    <w:rsid w:val="00A4239E"/>
    <w:rsid w:val="00A60516"/>
    <w:rsid w:val="00AD5E2F"/>
    <w:rsid w:val="00AE2861"/>
    <w:rsid w:val="00AF2C5C"/>
    <w:rsid w:val="00B628B4"/>
    <w:rsid w:val="00BA4093"/>
    <w:rsid w:val="00BC7AE8"/>
    <w:rsid w:val="00C25A8A"/>
    <w:rsid w:val="00C751FA"/>
    <w:rsid w:val="00CA1F72"/>
    <w:rsid w:val="00CB24AF"/>
    <w:rsid w:val="00CB75A2"/>
    <w:rsid w:val="00CF0C0F"/>
    <w:rsid w:val="00CF15C4"/>
    <w:rsid w:val="00D000CE"/>
    <w:rsid w:val="00D22483"/>
    <w:rsid w:val="00D51408"/>
    <w:rsid w:val="00D621C3"/>
    <w:rsid w:val="00D754C7"/>
    <w:rsid w:val="00D84E8B"/>
    <w:rsid w:val="00D94314"/>
    <w:rsid w:val="00DA4980"/>
    <w:rsid w:val="00DB1AAC"/>
    <w:rsid w:val="00DC2F37"/>
    <w:rsid w:val="00DC47D2"/>
    <w:rsid w:val="00DF507D"/>
    <w:rsid w:val="00E137B7"/>
    <w:rsid w:val="00E169E7"/>
    <w:rsid w:val="00E46AFB"/>
    <w:rsid w:val="00E579F8"/>
    <w:rsid w:val="00E65A95"/>
    <w:rsid w:val="00EA1229"/>
    <w:rsid w:val="00EF4F22"/>
    <w:rsid w:val="00F35071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94F2"/>
  <w15:chartTrackingRefBased/>
  <w15:docId w15:val="{23B5CAA5-843B-4A69-8615-7473040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05"/>
    <w:pPr>
      <w:ind w:left="720"/>
      <w:contextualSpacing/>
    </w:pPr>
  </w:style>
  <w:style w:type="table" w:styleId="PlainTable5">
    <w:name w:val="Plain Table 5"/>
    <w:basedOn w:val="TableNormal"/>
    <w:uiPriority w:val="45"/>
    <w:rsid w:val="002A73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5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2.unhcr.org/en/documents/details/87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1299-A57A-4729-A296-0A2489EF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</dc:creator>
  <cp:keywords/>
  <dc:description/>
  <cp:lastModifiedBy>Milindi Illangasinghe</cp:lastModifiedBy>
  <cp:revision>6</cp:revision>
  <dcterms:created xsi:type="dcterms:W3CDTF">2021-06-15T17:20:00Z</dcterms:created>
  <dcterms:modified xsi:type="dcterms:W3CDTF">2021-08-10T09:09:00Z</dcterms:modified>
</cp:coreProperties>
</file>