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6450" w14:textId="24787E45" w:rsidR="00B21943" w:rsidRDefault="006E0F30" w:rsidP="0096344E">
      <w:pPr>
        <w:spacing w:after="0" w:line="360" w:lineRule="auto"/>
        <w:ind w:left="-360" w:right="-180"/>
        <w:jc w:val="center"/>
        <w:rPr>
          <w:rFonts w:ascii="Arial" w:hAnsi="Arial" w:cs="Arial"/>
          <w:b/>
          <w:sz w:val="28"/>
          <w:szCs w:val="28"/>
        </w:rPr>
      </w:pPr>
      <w:r w:rsidRPr="00993532">
        <w:rPr>
          <w:rFonts w:ascii="Arial" w:hAnsi="Arial" w:cs="Arial"/>
          <w:b/>
          <w:sz w:val="28"/>
          <w:szCs w:val="28"/>
        </w:rPr>
        <w:t xml:space="preserve">Guidance on Use of </w:t>
      </w:r>
      <w:r w:rsidR="00631F9C">
        <w:rPr>
          <w:rFonts w:ascii="Arial" w:hAnsi="Arial" w:cs="Arial"/>
          <w:b/>
          <w:sz w:val="28"/>
          <w:szCs w:val="28"/>
        </w:rPr>
        <w:t>Repor</w:t>
      </w:r>
      <w:r w:rsidR="00630989">
        <w:rPr>
          <w:rFonts w:ascii="Arial" w:hAnsi="Arial" w:cs="Arial"/>
          <w:b/>
          <w:sz w:val="28"/>
          <w:szCs w:val="28"/>
        </w:rPr>
        <w:t>t</w:t>
      </w:r>
      <w:r w:rsidR="00631F9C">
        <w:rPr>
          <w:rFonts w:ascii="Arial" w:hAnsi="Arial" w:cs="Arial"/>
          <w:b/>
          <w:sz w:val="28"/>
          <w:szCs w:val="28"/>
        </w:rPr>
        <w:t xml:space="preserve">ing and </w:t>
      </w:r>
      <w:r w:rsidRPr="00993532">
        <w:rPr>
          <w:rFonts w:ascii="Arial" w:hAnsi="Arial" w:cs="Arial"/>
          <w:b/>
          <w:sz w:val="28"/>
          <w:szCs w:val="28"/>
        </w:rPr>
        <w:t xml:space="preserve">Referral Form for SEA </w:t>
      </w:r>
      <w:r w:rsidR="00D113DA">
        <w:rPr>
          <w:rFonts w:ascii="Arial" w:hAnsi="Arial" w:cs="Arial"/>
          <w:b/>
          <w:sz w:val="28"/>
          <w:szCs w:val="28"/>
        </w:rPr>
        <w:t>Allegations</w:t>
      </w:r>
    </w:p>
    <w:p w14:paraId="1BA2B5B1" w14:textId="77777777" w:rsidR="00492DD3" w:rsidRPr="00B72D42" w:rsidRDefault="00492DD3" w:rsidP="0096344E">
      <w:pPr>
        <w:spacing w:line="360" w:lineRule="auto"/>
        <w:jc w:val="center"/>
        <w:rPr>
          <w:rFonts w:ascii="Arial" w:hAnsi="Arial" w:cs="Arial"/>
          <w:b/>
          <w:sz w:val="24"/>
          <w:szCs w:val="24"/>
        </w:rPr>
      </w:pPr>
      <w:r w:rsidRPr="00B72D42">
        <w:rPr>
          <w:rFonts w:ascii="Arial" w:hAnsi="Arial" w:cs="Arial"/>
          <w:b/>
          <w:sz w:val="24"/>
          <w:szCs w:val="24"/>
        </w:rPr>
        <w:t>Protection From Sexual Exploitation and Abuse (PSEA) Network Türkiye</w:t>
      </w:r>
    </w:p>
    <w:p w14:paraId="54786452" w14:textId="579D595D" w:rsidR="00B21943" w:rsidRPr="00AE6111" w:rsidRDefault="006E0F30">
      <w:pPr>
        <w:rPr>
          <w:rFonts w:ascii="Arial" w:hAnsi="Arial" w:cs="Arial"/>
        </w:rPr>
      </w:pPr>
      <w:r w:rsidRPr="00AE6111">
        <w:rPr>
          <w:rFonts w:ascii="Arial" w:hAnsi="Arial" w:cs="Arial"/>
        </w:rPr>
        <w:t xml:space="preserve">Protection from </w:t>
      </w:r>
      <w:r w:rsidR="008F72B2">
        <w:rPr>
          <w:rFonts w:ascii="Arial" w:hAnsi="Arial" w:cs="Arial"/>
        </w:rPr>
        <w:t>s</w:t>
      </w:r>
      <w:r w:rsidRPr="00AE6111">
        <w:rPr>
          <w:rFonts w:ascii="Arial" w:hAnsi="Arial" w:cs="Arial"/>
        </w:rPr>
        <w:t xml:space="preserve">exual </w:t>
      </w:r>
      <w:r w:rsidR="008F72B2">
        <w:rPr>
          <w:rFonts w:ascii="Arial" w:hAnsi="Arial" w:cs="Arial"/>
        </w:rPr>
        <w:t>e</w:t>
      </w:r>
      <w:r w:rsidRPr="00AE6111">
        <w:rPr>
          <w:rFonts w:ascii="Arial" w:hAnsi="Arial" w:cs="Arial"/>
        </w:rPr>
        <w:t xml:space="preserve">xploitation and </w:t>
      </w:r>
      <w:r w:rsidR="008F72B2">
        <w:rPr>
          <w:rFonts w:ascii="Arial" w:hAnsi="Arial" w:cs="Arial"/>
        </w:rPr>
        <w:t>a</w:t>
      </w:r>
      <w:r w:rsidRPr="00AE6111">
        <w:rPr>
          <w:rFonts w:ascii="Arial" w:hAnsi="Arial" w:cs="Arial"/>
        </w:rPr>
        <w:t xml:space="preserve">buse (SEA), including prevention and response, is a priority and an obligation for all actors contributing to humanitarian, development and </w:t>
      </w:r>
      <w:r w:rsidRPr="0095566E">
        <w:rPr>
          <w:rFonts w:ascii="Arial" w:hAnsi="Arial" w:cs="Arial"/>
        </w:rPr>
        <w:t>recovery</w:t>
      </w:r>
      <w:r w:rsidRPr="00AE6111">
        <w:rPr>
          <w:rFonts w:ascii="Arial" w:hAnsi="Arial" w:cs="Arial"/>
        </w:rPr>
        <w:t xml:space="preserve"> response. It is everyone’s duty to ensure that assistance is provided free from any form of exploitation and/or abuse. The zero-tolerance policy applies to everyone, including all staff, consultants, volunteers, affiliated staff, vendors and sub-contracted parties.</w:t>
      </w:r>
    </w:p>
    <w:p w14:paraId="54786453" w14:textId="7E787104" w:rsidR="00B21943" w:rsidRPr="00AE6111" w:rsidRDefault="006E0F30">
      <w:pPr>
        <w:rPr>
          <w:rFonts w:ascii="Arial" w:hAnsi="Arial" w:cs="Arial"/>
        </w:rPr>
      </w:pPr>
      <w:r w:rsidRPr="003C6835">
        <w:rPr>
          <w:rFonts w:ascii="Arial" w:hAnsi="Arial" w:cs="Arial"/>
          <w:b/>
          <w:bCs/>
        </w:rPr>
        <w:t xml:space="preserve">If you become aware of a </w:t>
      </w:r>
      <w:r w:rsidR="00CE4514">
        <w:rPr>
          <w:rFonts w:ascii="Arial" w:hAnsi="Arial" w:cs="Arial"/>
          <w:b/>
          <w:bCs/>
        </w:rPr>
        <w:t>alleged</w:t>
      </w:r>
      <w:r w:rsidR="00CE4514" w:rsidRPr="003C6835">
        <w:rPr>
          <w:rFonts w:ascii="Arial" w:hAnsi="Arial" w:cs="Arial"/>
          <w:b/>
          <w:bCs/>
        </w:rPr>
        <w:t xml:space="preserve"> </w:t>
      </w:r>
      <w:r w:rsidRPr="003C6835">
        <w:rPr>
          <w:rFonts w:ascii="Arial" w:hAnsi="Arial" w:cs="Arial"/>
          <w:b/>
          <w:bCs/>
        </w:rPr>
        <w:t>PSEA incident or occurrence, you are obligated to forward that information to relevant PSEA focal points for follow-up within their organizations</w:t>
      </w:r>
      <w:r w:rsidR="00054E8A">
        <w:rPr>
          <w:rFonts w:ascii="Arial" w:hAnsi="Arial" w:cs="Arial"/>
          <w:b/>
          <w:bCs/>
        </w:rPr>
        <w:t xml:space="preserve">. </w:t>
      </w:r>
      <w:r w:rsidR="002428CD">
        <w:rPr>
          <w:rFonts w:ascii="Arial" w:hAnsi="Arial" w:cs="Arial"/>
          <w:b/>
          <w:bCs/>
        </w:rPr>
        <w:t xml:space="preserve">You should also utilize and refer the complainant to established </w:t>
      </w:r>
      <w:r w:rsidR="00E27FF3">
        <w:rPr>
          <w:rFonts w:ascii="Arial" w:hAnsi="Arial" w:cs="Arial"/>
          <w:b/>
          <w:bCs/>
        </w:rPr>
        <w:t>Gender-Based Violence (</w:t>
      </w:r>
      <w:r w:rsidR="002428CD">
        <w:rPr>
          <w:rFonts w:ascii="Arial" w:hAnsi="Arial" w:cs="Arial"/>
          <w:b/>
          <w:bCs/>
        </w:rPr>
        <w:t>GBV</w:t>
      </w:r>
      <w:r w:rsidR="00E27FF3">
        <w:rPr>
          <w:rFonts w:ascii="Arial" w:hAnsi="Arial" w:cs="Arial"/>
          <w:b/>
          <w:bCs/>
        </w:rPr>
        <w:t>)</w:t>
      </w:r>
      <w:r w:rsidR="002428CD">
        <w:rPr>
          <w:rFonts w:ascii="Arial" w:hAnsi="Arial" w:cs="Arial"/>
          <w:b/>
          <w:bCs/>
        </w:rPr>
        <w:t xml:space="preserve"> referral pathways for assistance. </w:t>
      </w:r>
      <w:r w:rsidRPr="00AE6111">
        <w:rPr>
          <w:rFonts w:ascii="Arial" w:hAnsi="Arial" w:cs="Arial"/>
        </w:rPr>
        <w:t xml:space="preserve">PSEA Network members are also obligated to comply with UN and </w:t>
      </w:r>
      <w:r w:rsidR="00A15207">
        <w:rPr>
          <w:rFonts w:ascii="Arial" w:hAnsi="Arial" w:cs="Arial"/>
        </w:rPr>
        <w:t xml:space="preserve">Türkiye </w:t>
      </w:r>
      <w:r w:rsidRPr="00AE6111">
        <w:rPr>
          <w:rFonts w:ascii="Arial" w:hAnsi="Arial" w:cs="Arial"/>
        </w:rPr>
        <w:t xml:space="preserve">PSEA Network reporting obligations regarding the provision of anonymized information on alleged </w:t>
      </w:r>
      <w:r w:rsidR="003C1C9B">
        <w:rPr>
          <w:rFonts w:ascii="Arial" w:hAnsi="Arial" w:cs="Arial"/>
        </w:rPr>
        <w:t xml:space="preserve">SEA </w:t>
      </w:r>
      <w:r w:rsidRPr="00AE6111">
        <w:rPr>
          <w:rFonts w:ascii="Arial" w:hAnsi="Arial" w:cs="Arial"/>
        </w:rPr>
        <w:t>incidents and trends.</w:t>
      </w:r>
    </w:p>
    <w:p w14:paraId="54786455" w14:textId="1FD39F00" w:rsidR="00B21943" w:rsidRDefault="006E0F30">
      <w:pPr>
        <w:rPr>
          <w:rFonts w:ascii="Arial" w:hAnsi="Arial" w:cs="Arial"/>
        </w:rPr>
      </w:pPr>
      <w:r w:rsidRPr="00AE6111">
        <w:rPr>
          <w:rFonts w:ascii="Arial" w:hAnsi="Arial" w:cs="Arial"/>
        </w:rPr>
        <w:t xml:space="preserve">SEA reporting is a delicate task. If you have not been trained on how to receive SEA referrals or if you are not comfortable doing so, please consult with known PSEA or GBV Focal Points working in your area, or seek assistance from the organizations listed </w:t>
      </w:r>
      <w:r w:rsidR="000834FB">
        <w:rPr>
          <w:rFonts w:ascii="Arial" w:hAnsi="Arial" w:cs="Arial"/>
        </w:rPr>
        <w:t>below</w:t>
      </w:r>
      <w:r w:rsidR="00DE0594">
        <w:rPr>
          <w:rFonts w:ascii="Arial" w:hAnsi="Arial" w:cs="Arial"/>
        </w:rPr>
        <w:t>.I</w:t>
      </w:r>
      <w:r w:rsidRPr="00AE6111">
        <w:rPr>
          <w:rFonts w:ascii="Arial" w:hAnsi="Arial" w:cs="Arial"/>
        </w:rPr>
        <w:t xml:space="preserve">ndicate that you have information related to </w:t>
      </w:r>
      <w:r w:rsidR="000F2CC6">
        <w:rPr>
          <w:rFonts w:ascii="Arial" w:hAnsi="Arial" w:cs="Arial"/>
        </w:rPr>
        <w:t>a</w:t>
      </w:r>
      <w:r w:rsidR="006F72E9">
        <w:rPr>
          <w:rFonts w:ascii="Arial" w:hAnsi="Arial" w:cs="Arial"/>
        </w:rPr>
        <w:t xml:space="preserve">n </w:t>
      </w:r>
      <w:r w:rsidR="000F2CC6">
        <w:rPr>
          <w:rFonts w:ascii="Arial" w:hAnsi="Arial" w:cs="Arial"/>
        </w:rPr>
        <w:t xml:space="preserve">alleged </w:t>
      </w:r>
      <w:r w:rsidRPr="00AE6111">
        <w:rPr>
          <w:rFonts w:ascii="Arial" w:hAnsi="Arial" w:cs="Arial"/>
        </w:rPr>
        <w:t>SEA</w:t>
      </w:r>
      <w:r w:rsidR="009D28D1">
        <w:rPr>
          <w:rFonts w:ascii="Arial" w:hAnsi="Arial" w:cs="Arial"/>
        </w:rPr>
        <w:t xml:space="preserve"> </w:t>
      </w:r>
      <w:r w:rsidR="000F2CC6">
        <w:rPr>
          <w:rFonts w:ascii="Arial" w:hAnsi="Arial" w:cs="Arial"/>
        </w:rPr>
        <w:t xml:space="preserve">incident </w:t>
      </w:r>
      <w:r w:rsidR="009D28D1">
        <w:rPr>
          <w:rFonts w:ascii="Arial" w:hAnsi="Arial" w:cs="Arial"/>
        </w:rPr>
        <w:t xml:space="preserve">without sharing any identifiable or personal information about the </w:t>
      </w:r>
      <w:r w:rsidR="006F72E9">
        <w:rPr>
          <w:rFonts w:ascii="Arial" w:hAnsi="Arial" w:cs="Arial"/>
        </w:rPr>
        <w:t xml:space="preserve">complainant. </w:t>
      </w:r>
      <w:r w:rsidRPr="00AE6111">
        <w:rPr>
          <w:rFonts w:ascii="Arial" w:hAnsi="Arial" w:cs="Arial"/>
        </w:rPr>
        <w:t xml:space="preserve">Similarly, you can advise the </w:t>
      </w:r>
      <w:r w:rsidR="006F72E9">
        <w:rPr>
          <w:rFonts w:ascii="Arial" w:hAnsi="Arial" w:cs="Arial"/>
        </w:rPr>
        <w:t>complainant</w:t>
      </w:r>
      <w:r w:rsidR="009D28D1" w:rsidRPr="00AE6111">
        <w:rPr>
          <w:rFonts w:ascii="Arial" w:hAnsi="Arial" w:cs="Arial"/>
        </w:rPr>
        <w:t xml:space="preserve"> </w:t>
      </w:r>
      <w:r w:rsidRPr="00AE6111">
        <w:rPr>
          <w:rFonts w:ascii="Arial" w:hAnsi="Arial" w:cs="Arial"/>
        </w:rPr>
        <w:t xml:space="preserve">to do the same. </w:t>
      </w:r>
    </w:p>
    <w:p w14:paraId="193E6292" w14:textId="77777777" w:rsidR="006C7DDC" w:rsidRPr="00251B42" w:rsidRDefault="006C7DDC" w:rsidP="006C7DDC">
      <w:pPr>
        <w:rPr>
          <w:rFonts w:ascii="Arial" w:hAnsi="Arial" w:cs="Arial"/>
          <w:b/>
        </w:rPr>
      </w:pPr>
      <w:r w:rsidRPr="00251B42">
        <w:rPr>
          <w:rFonts w:ascii="Arial" w:hAnsi="Arial" w:cs="Arial"/>
          <w:b/>
        </w:rPr>
        <w:t>UN Agencies and NGOs to Seek Assistance in Reporting:</w:t>
      </w:r>
    </w:p>
    <w:tbl>
      <w:tblPr>
        <w:tblStyle w:val="TableGrid"/>
        <w:tblW w:w="9764" w:type="dxa"/>
        <w:tblLook w:val="04A0" w:firstRow="1" w:lastRow="0" w:firstColumn="1" w:lastColumn="0" w:noHBand="0" w:noVBand="1"/>
      </w:tblPr>
      <w:tblGrid>
        <w:gridCol w:w="3254"/>
        <w:gridCol w:w="3254"/>
        <w:gridCol w:w="3256"/>
      </w:tblGrid>
      <w:tr w:rsidR="006C7DDC" w:rsidRPr="00251B42" w14:paraId="07BFAD82" w14:textId="77777777" w:rsidTr="001D4655">
        <w:trPr>
          <w:trHeight w:val="417"/>
        </w:trPr>
        <w:tc>
          <w:tcPr>
            <w:tcW w:w="3254" w:type="dxa"/>
            <w:vAlign w:val="center"/>
          </w:tcPr>
          <w:p w14:paraId="095831F7" w14:textId="77777777" w:rsidR="006C7DDC" w:rsidRPr="00251B42" w:rsidRDefault="006C7DDC" w:rsidP="001D4655">
            <w:pPr>
              <w:rPr>
                <w:rFonts w:ascii="Arial" w:hAnsi="Arial" w:cs="Arial"/>
                <w:b/>
                <w:bCs/>
                <w:color w:val="000000" w:themeColor="text1"/>
                <w:sz w:val="20"/>
                <w:szCs w:val="20"/>
              </w:rPr>
            </w:pPr>
            <w:r w:rsidRPr="00251B42">
              <w:rPr>
                <w:rFonts w:ascii="Arial" w:hAnsi="Arial" w:cs="Arial"/>
                <w:b/>
                <w:bCs/>
                <w:color w:val="000000" w:themeColor="text1"/>
                <w:sz w:val="20"/>
                <w:szCs w:val="20"/>
              </w:rPr>
              <w:t>Organization Name</w:t>
            </w:r>
          </w:p>
        </w:tc>
        <w:tc>
          <w:tcPr>
            <w:tcW w:w="3254" w:type="dxa"/>
            <w:vAlign w:val="center"/>
          </w:tcPr>
          <w:p w14:paraId="178189AE" w14:textId="77777777" w:rsidR="006C7DDC" w:rsidRPr="00251B42" w:rsidRDefault="006C7DDC" w:rsidP="001D4655">
            <w:pPr>
              <w:rPr>
                <w:rFonts w:ascii="Arial" w:hAnsi="Arial" w:cs="Arial"/>
                <w:b/>
                <w:bCs/>
                <w:color w:val="000000" w:themeColor="text1"/>
                <w:sz w:val="20"/>
                <w:szCs w:val="20"/>
              </w:rPr>
            </w:pPr>
            <w:r w:rsidRPr="00251B42">
              <w:rPr>
                <w:rFonts w:ascii="Arial" w:hAnsi="Arial" w:cs="Arial"/>
                <w:b/>
                <w:bCs/>
                <w:color w:val="000000" w:themeColor="text1"/>
                <w:sz w:val="20"/>
                <w:szCs w:val="20"/>
              </w:rPr>
              <w:t>Hot Line</w:t>
            </w:r>
          </w:p>
        </w:tc>
        <w:tc>
          <w:tcPr>
            <w:tcW w:w="3256" w:type="dxa"/>
            <w:vAlign w:val="center"/>
          </w:tcPr>
          <w:p w14:paraId="5F8B8D7C" w14:textId="77777777" w:rsidR="006C7DDC" w:rsidRPr="00251B42" w:rsidRDefault="006C7DDC" w:rsidP="001D4655">
            <w:pPr>
              <w:rPr>
                <w:rFonts w:ascii="Arial" w:hAnsi="Arial" w:cs="Arial"/>
                <w:b/>
                <w:bCs/>
                <w:color w:val="000000" w:themeColor="text1"/>
                <w:sz w:val="20"/>
                <w:szCs w:val="20"/>
              </w:rPr>
            </w:pPr>
            <w:r w:rsidRPr="00251B42">
              <w:rPr>
                <w:rFonts w:ascii="Arial" w:hAnsi="Arial" w:cs="Arial"/>
                <w:b/>
                <w:bCs/>
                <w:color w:val="000000" w:themeColor="text1"/>
                <w:sz w:val="20"/>
                <w:szCs w:val="20"/>
              </w:rPr>
              <w:t>E-mail Address</w:t>
            </w:r>
          </w:p>
        </w:tc>
      </w:tr>
      <w:tr w:rsidR="006C7DDC" w:rsidRPr="00251B42" w14:paraId="3757CCB3" w14:textId="77777777" w:rsidTr="001D4655">
        <w:trPr>
          <w:trHeight w:val="417"/>
        </w:trPr>
        <w:tc>
          <w:tcPr>
            <w:tcW w:w="3254" w:type="dxa"/>
            <w:vAlign w:val="center"/>
          </w:tcPr>
          <w:p w14:paraId="5F701770"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UNHCR</w:t>
            </w:r>
          </w:p>
        </w:tc>
        <w:tc>
          <w:tcPr>
            <w:tcW w:w="3254" w:type="dxa"/>
            <w:vAlign w:val="center"/>
          </w:tcPr>
          <w:p w14:paraId="6A3FFAE7"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444 4868</w:t>
            </w:r>
          </w:p>
        </w:tc>
        <w:tc>
          <w:tcPr>
            <w:tcW w:w="3256" w:type="dxa"/>
            <w:vAlign w:val="center"/>
          </w:tcPr>
          <w:p w14:paraId="33895A3E"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inspector@unhcr.org</w:t>
            </w:r>
          </w:p>
        </w:tc>
      </w:tr>
      <w:tr w:rsidR="006C7DDC" w:rsidRPr="00251B42" w14:paraId="015D3507" w14:textId="77777777" w:rsidTr="001D4655">
        <w:trPr>
          <w:trHeight w:val="417"/>
        </w:trPr>
        <w:tc>
          <w:tcPr>
            <w:tcW w:w="3254" w:type="dxa"/>
            <w:vAlign w:val="center"/>
          </w:tcPr>
          <w:p w14:paraId="3E54B024"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UNFPA</w:t>
            </w:r>
          </w:p>
        </w:tc>
        <w:tc>
          <w:tcPr>
            <w:tcW w:w="3254" w:type="dxa"/>
            <w:vAlign w:val="center"/>
          </w:tcPr>
          <w:p w14:paraId="51F628FF" w14:textId="3FD95F2E" w:rsidR="006C7DDC" w:rsidRPr="00251B42" w:rsidRDefault="00227ECC" w:rsidP="001D4655">
            <w:pPr>
              <w:rPr>
                <w:rFonts w:ascii="Arial" w:hAnsi="Arial" w:cs="Arial"/>
                <w:color w:val="000000" w:themeColor="text1"/>
                <w:sz w:val="20"/>
                <w:szCs w:val="20"/>
              </w:rPr>
            </w:pPr>
            <w:r w:rsidRPr="00251B42">
              <w:rPr>
                <w:rFonts w:ascii="Arial" w:hAnsi="Arial" w:cs="Arial"/>
                <w:color w:val="000000" w:themeColor="text1"/>
                <w:sz w:val="20"/>
                <w:szCs w:val="20"/>
              </w:rPr>
              <w:t>0 535 480 76 39</w:t>
            </w:r>
          </w:p>
        </w:tc>
        <w:tc>
          <w:tcPr>
            <w:tcW w:w="3256" w:type="dxa"/>
            <w:vAlign w:val="center"/>
          </w:tcPr>
          <w:p w14:paraId="6B8FA942"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psea.turkiye@unfpa.org</w:t>
            </w:r>
          </w:p>
        </w:tc>
      </w:tr>
      <w:tr w:rsidR="006C7DDC" w:rsidRPr="00251B42" w14:paraId="63FF8D7B" w14:textId="77777777" w:rsidTr="001D4655">
        <w:trPr>
          <w:trHeight w:val="417"/>
        </w:trPr>
        <w:tc>
          <w:tcPr>
            <w:tcW w:w="3254" w:type="dxa"/>
            <w:vAlign w:val="center"/>
          </w:tcPr>
          <w:p w14:paraId="6FC7FE52"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ASAM</w:t>
            </w:r>
          </w:p>
        </w:tc>
        <w:tc>
          <w:tcPr>
            <w:tcW w:w="3254" w:type="dxa"/>
            <w:vAlign w:val="center"/>
          </w:tcPr>
          <w:p w14:paraId="66747325"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0 850 474 1515</w:t>
            </w:r>
          </w:p>
        </w:tc>
        <w:tc>
          <w:tcPr>
            <w:tcW w:w="3256" w:type="dxa"/>
            <w:vAlign w:val="center"/>
          </w:tcPr>
          <w:p w14:paraId="1C723247"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psea@sgdd-asam.org</w:t>
            </w:r>
          </w:p>
        </w:tc>
      </w:tr>
      <w:tr w:rsidR="006C7DDC" w:rsidRPr="00251B42" w14:paraId="0C78BC41" w14:textId="77777777" w:rsidTr="001D4655">
        <w:trPr>
          <w:trHeight w:val="417"/>
        </w:trPr>
        <w:tc>
          <w:tcPr>
            <w:tcW w:w="3254" w:type="dxa"/>
            <w:vAlign w:val="center"/>
          </w:tcPr>
          <w:p w14:paraId="5DE390A8"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Support to Life</w:t>
            </w:r>
          </w:p>
        </w:tc>
        <w:tc>
          <w:tcPr>
            <w:tcW w:w="3254" w:type="dxa"/>
            <w:vAlign w:val="center"/>
          </w:tcPr>
          <w:p w14:paraId="7E316939"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0 850 441 0043</w:t>
            </w:r>
          </w:p>
        </w:tc>
        <w:tc>
          <w:tcPr>
            <w:tcW w:w="3256" w:type="dxa"/>
            <w:vAlign w:val="center"/>
          </w:tcPr>
          <w:p w14:paraId="489EBB00" w14:textId="77777777" w:rsidR="006C7DDC" w:rsidRPr="00251B42" w:rsidRDefault="006C7DDC" w:rsidP="001D4655">
            <w:pPr>
              <w:rPr>
                <w:rFonts w:ascii="Arial" w:hAnsi="Arial" w:cs="Arial"/>
                <w:color w:val="000000" w:themeColor="text1"/>
                <w:sz w:val="20"/>
                <w:szCs w:val="20"/>
              </w:rPr>
            </w:pPr>
            <w:r w:rsidRPr="00251B42">
              <w:rPr>
                <w:rFonts w:ascii="Arial" w:hAnsi="Arial" w:cs="Arial"/>
                <w:color w:val="000000" w:themeColor="text1"/>
                <w:sz w:val="20"/>
                <w:szCs w:val="20"/>
              </w:rPr>
              <w:t>fikir@hayatadestek.org</w:t>
            </w:r>
          </w:p>
        </w:tc>
      </w:tr>
    </w:tbl>
    <w:p w14:paraId="1D0B37AC" w14:textId="3A94E712" w:rsidR="00497E3B" w:rsidRPr="00FE794D" w:rsidRDefault="0068396D" w:rsidP="00251B42">
      <w:pPr>
        <w:spacing w:before="240"/>
        <w:rPr>
          <w:rFonts w:ascii="Arial" w:hAnsi="Arial" w:cs="Arial"/>
          <w:b/>
          <w:sz w:val="24"/>
          <w:szCs w:val="24"/>
        </w:rPr>
      </w:pPr>
      <w:r w:rsidRPr="00FE794D">
        <w:rPr>
          <w:rFonts w:ascii="Arial" w:hAnsi="Arial" w:cs="Arial"/>
          <w:b/>
          <w:sz w:val="24"/>
          <w:szCs w:val="24"/>
        </w:rPr>
        <w:t xml:space="preserve">Mapping of </w:t>
      </w:r>
      <w:r w:rsidR="00497E3B" w:rsidRPr="00FE794D">
        <w:rPr>
          <w:rFonts w:ascii="Arial" w:hAnsi="Arial" w:cs="Arial"/>
          <w:b/>
          <w:sz w:val="24"/>
          <w:szCs w:val="24"/>
        </w:rPr>
        <w:t>Türkiye PSEA Focal Points</w:t>
      </w:r>
    </w:p>
    <w:p w14:paraId="0644B44F" w14:textId="66A5D751" w:rsidR="00497E3B" w:rsidRPr="00AE6111" w:rsidRDefault="00497E3B">
      <w:pPr>
        <w:rPr>
          <w:rFonts w:ascii="Arial" w:hAnsi="Arial" w:cs="Arial"/>
        </w:rPr>
      </w:pPr>
      <w:r>
        <w:rPr>
          <w:rFonts w:ascii="Arial" w:hAnsi="Arial" w:cs="Arial"/>
        </w:rPr>
        <w:t xml:space="preserve">In order to ease the process of reporting and referring </w:t>
      </w:r>
      <w:r w:rsidR="0068396D">
        <w:rPr>
          <w:rFonts w:ascii="Arial" w:hAnsi="Arial" w:cs="Arial"/>
        </w:rPr>
        <w:t xml:space="preserve">SEA allegations, the PSEA Network of Türkiye developed an online focal point mapping tool which can be accessed through this </w:t>
      </w:r>
      <w:hyperlink r:id="rId12" w:history="1">
        <w:r w:rsidR="0068396D" w:rsidRPr="004E2465">
          <w:rPr>
            <w:rStyle w:val="Hyperlink"/>
            <w:rFonts w:ascii="Arial" w:hAnsi="Arial" w:cs="Arial"/>
            <w:b/>
            <w:bCs/>
          </w:rPr>
          <w:t>link</w:t>
        </w:r>
      </w:hyperlink>
      <w:r w:rsidR="0068396D">
        <w:rPr>
          <w:rFonts w:ascii="Arial" w:hAnsi="Arial" w:cs="Arial"/>
        </w:rPr>
        <w:t>.</w:t>
      </w:r>
      <w:r w:rsidR="002974CC">
        <w:rPr>
          <w:rFonts w:ascii="Arial" w:hAnsi="Arial" w:cs="Arial"/>
        </w:rPr>
        <w:t xml:space="preserve"> This tool will help you identify the focal points within your organization or another organization which you will need to contact (if you are not the designated focal point) for reporting and referral of SEA allegations for required follow-up.</w:t>
      </w:r>
    </w:p>
    <w:p w14:paraId="79B43093" w14:textId="55233695" w:rsidR="0068396D" w:rsidRDefault="006E0F30" w:rsidP="0068396D">
      <w:pPr>
        <w:rPr>
          <w:rFonts w:ascii="Arial" w:hAnsi="Arial" w:cs="Arial"/>
          <w:b/>
          <w:sz w:val="24"/>
          <w:szCs w:val="24"/>
        </w:rPr>
      </w:pPr>
      <w:r w:rsidRPr="00AE6111">
        <w:rPr>
          <w:rFonts w:ascii="Arial" w:hAnsi="Arial" w:cs="Arial"/>
          <w:b/>
          <w:sz w:val="24"/>
          <w:szCs w:val="24"/>
        </w:rPr>
        <w:t xml:space="preserve">Guidance on Do’s and Don’ts </w:t>
      </w:r>
      <w:r w:rsidR="002256EB">
        <w:rPr>
          <w:rFonts w:ascii="Arial" w:hAnsi="Arial" w:cs="Arial"/>
          <w:b/>
          <w:sz w:val="24"/>
          <w:szCs w:val="24"/>
        </w:rPr>
        <w:t>in Reporting and Referral Processes</w:t>
      </w:r>
    </w:p>
    <w:p w14:paraId="30B2091B" w14:textId="30C45A18" w:rsidR="0068396D" w:rsidRDefault="0068396D" w:rsidP="0068396D">
      <w:pPr>
        <w:rPr>
          <w:rFonts w:ascii="Arial" w:hAnsi="Arial" w:cs="Arial"/>
        </w:rPr>
      </w:pPr>
      <w:r w:rsidRPr="00AE6111">
        <w:rPr>
          <w:rFonts w:ascii="Arial" w:hAnsi="Arial" w:cs="Arial"/>
        </w:rPr>
        <w:t xml:space="preserve">Please review the following </w:t>
      </w:r>
      <w:r w:rsidR="00631F9C">
        <w:rPr>
          <w:rFonts w:ascii="Arial" w:hAnsi="Arial" w:cs="Arial"/>
        </w:rPr>
        <w:t>g</w:t>
      </w:r>
      <w:r w:rsidRPr="00AE6111">
        <w:rPr>
          <w:rFonts w:ascii="Arial" w:hAnsi="Arial" w:cs="Arial"/>
        </w:rPr>
        <w:t xml:space="preserve">uidance for </w:t>
      </w:r>
      <w:r w:rsidR="00631F9C">
        <w:rPr>
          <w:rFonts w:ascii="Arial" w:hAnsi="Arial" w:cs="Arial"/>
        </w:rPr>
        <w:t>r</w:t>
      </w:r>
      <w:r w:rsidRPr="00AE6111">
        <w:rPr>
          <w:rFonts w:ascii="Arial" w:hAnsi="Arial" w:cs="Arial"/>
        </w:rPr>
        <w:t xml:space="preserve">eceiving, </w:t>
      </w:r>
      <w:r w:rsidR="00631F9C">
        <w:rPr>
          <w:rFonts w:ascii="Arial" w:hAnsi="Arial" w:cs="Arial"/>
        </w:rPr>
        <w:t>r</w:t>
      </w:r>
      <w:r w:rsidRPr="00AE6111">
        <w:rPr>
          <w:rFonts w:ascii="Arial" w:hAnsi="Arial" w:cs="Arial"/>
        </w:rPr>
        <w:t xml:space="preserve">ecording and </w:t>
      </w:r>
      <w:r w:rsidR="00631F9C">
        <w:rPr>
          <w:rFonts w:ascii="Arial" w:hAnsi="Arial" w:cs="Arial"/>
        </w:rPr>
        <w:t>r</w:t>
      </w:r>
      <w:r w:rsidRPr="00AE6111">
        <w:rPr>
          <w:rFonts w:ascii="Arial" w:hAnsi="Arial" w:cs="Arial"/>
        </w:rPr>
        <w:t xml:space="preserve">eferring </w:t>
      </w:r>
      <w:r w:rsidR="00631F9C">
        <w:rPr>
          <w:rFonts w:ascii="Arial" w:hAnsi="Arial" w:cs="Arial"/>
        </w:rPr>
        <w:t>a</w:t>
      </w:r>
      <w:r w:rsidR="006F72E9">
        <w:rPr>
          <w:rFonts w:ascii="Arial" w:hAnsi="Arial" w:cs="Arial"/>
        </w:rPr>
        <w:t xml:space="preserve">lleged </w:t>
      </w:r>
      <w:r w:rsidRPr="00AE6111">
        <w:rPr>
          <w:rFonts w:ascii="Arial" w:hAnsi="Arial" w:cs="Arial"/>
        </w:rPr>
        <w:t>SEA incidents should you be approached by a community member o</w:t>
      </w:r>
      <w:r w:rsidR="00696F5A">
        <w:rPr>
          <w:rFonts w:ascii="Arial" w:hAnsi="Arial" w:cs="Arial"/>
        </w:rPr>
        <w:t>r</w:t>
      </w:r>
      <w:r w:rsidRPr="00AE6111">
        <w:rPr>
          <w:rFonts w:ascii="Arial" w:hAnsi="Arial" w:cs="Arial"/>
        </w:rPr>
        <w:t xml:space="preserve"> colleagues with information related to a</w:t>
      </w:r>
      <w:r w:rsidR="00914B51">
        <w:rPr>
          <w:rFonts w:ascii="Arial" w:hAnsi="Arial" w:cs="Arial"/>
        </w:rPr>
        <w:t>n alleged</w:t>
      </w:r>
      <w:r w:rsidRPr="00AE6111">
        <w:rPr>
          <w:rFonts w:ascii="Arial" w:hAnsi="Arial" w:cs="Arial"/>
        </w:rPr>
        <w:t xml:space="preserve"> SEA incident.</w:t>
      </w:r>
      <w:r w:rsidR="00D34E1C">
        <w:rPr>
          <w:rFonts w:ascii="Arial" w:hAnsi="Arial" w:cs="Arial"/>
        </w:rPr>
        <w:t xml:space="preserve"> </w:t>
      </w:r>
      <w:r w:rsidRPr="00AE6111">
        <w:rPr>
          <w:rFonts w:ascii="Arial" w:hAnsi="Arial" w:cs="Arial"/>
        </w:rPr>
        <w:t xml:space="preserve">Thank you for your attention to this issue which is critical to our humanitarian obligation to DO NO HARM. </w:t>
      </w:r>
      <w:r w:rsidR="00CC3377">
        <w:rPr>
          <w:rFonts w:ascii="Arial" w:hAnsi="Arial" w:cs="Arial"/>
        </w:rPr>
        <w:t xml:space="preserve">Feel free to contact the PSEA Network </w:t>
      </w:r>
      <w:r w:rsidR="00063653">
        <w:rPr>
          <w:rFonts w:ascii="Arial" w:hAnsi="Arial" w:cs="Arial"/>
        </w:rPr>
        <w:t xml:space="preserve">Türkiye </w:t>
      </w:r>
      <w:r w:rsidR="00CC3377">
        <w:rPr>
          <w:rFonts w:ascii="Arial" w:hAnsi="Arial" w:cs="Arial"/>
        </w:rPr>
        <w:t>or PSEA focal points/</w:t>
      </w:r>
      <w:r w:rsidR="00E300A9">
        <w:rPr>
          <w:rFonts w:ascii="Arial" w:hAnsi="Arial" w:cs="Arial"/>
        </w:rPr>
        <w:t>GBV</w:t>
      </w:r>
      <w:r w:rsidR="00CC3377">
        <w:rPr>
          <w:rFonts w:ascii="Arial" w:hAnsi="Arial" w:cs="Arial"/>
        </w:rPr>
        <w:t xml:space="preserve"> focal points for a</w:t>
      </w:r>
      <w:r w:rsidRPr="00AE6111">
        <w:rPr>
          <w:rFonts w:ascii="Arial" w:hAnsi="Arial" w:cs="Arial"/>
        </w:rPr>
        <w:t>ssistance.</w:t>
      </w:r>
    </w:p>
    <w:p w14:paraId="5478645A" w14:textId="7EC09505"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lastRenderedPageBreak/>
        <w:t xml:space="preserve">Any allegation of sexual </w:t>
      </w:r>
      <w:r w:rsidRPr="00AE6111">
        <w:rPr>
          <w:rFonts w:ascii="Arial" w:hAnsi="Arial" w:cs="Arial"/>
        </w:rPr>
        <w:t>exploitation</w:t>
      </w:r>
      <w:r w:rsidRPr="00AE6111">
        <w:rPr>
          <w:rFonts w:ascii="Arial" w:hAnsi="Arial" w:cs="Arial"/>
          <w:color w:val="000000"/>
        </w:rPr>
        <w:t xml:space="preserve"> and abuse is a highly sensitive issue.</w:t>
      </w:r>
      <w:r w:rsidRPr="00E27FF3">
        <w:rPr>
          <w:rFonts w:ascii="Arial" w:hAnsi="Arial" w:cs="Arial"/>
          <w:color w:val="000000"/>
        </w:rPr>
        <w:t xml:space="preserve"> </w:t>
      </w:r>
      <w:r w:rsidR="000D045A" w:rsidRPr="00E27FF3">
        <w:rPr>
          <w:rFonts w:ascii="Arial" w:eastAsia="Times New Roman" w:hAnsi="Arial" w:cs="Arial"/>
          <w:color w:val="000000"/>
        </w:rPr>
        <w:t>It can carry serious consequence</w:t>
      </w:r>
      <w:r w:rsidR="00BD4136" w:rsidRPr="00E27FF3">
        <w:rPr>
          <w:rFonts w:ascii="Arial" w:eastAsia="Times New Roman" w:hAnsi="Arial" w:cs="Arial"/>
          <w:color w:val="000000"/>
        </w:rPr>
        <w:t>s</w:t>
      </w:r>
      <w:r w:rsidR="000D045A" w:rsidRPr="00E27FF3">
        <w:rPr>
          <w:rFonts w:ascii="Arial" w:eastAsia="Times New Roman" w:hAnsi="Arial" w:cs="Arial"/>
          <w:color w:val="000000"/>
        </w:rPr>
        <w:t xml:space="preserve"> for the complaintant, including the risks to safety and retaliation, as well as to the alleged perpetratror. Therefore,</w:t>
      </w:r>
      <w:r w:rsidR="000D045A">
        <w:rPr>
          <w:rFonts w:ascii="Arial" w:eastAsia="Times New Roman" w:hAnsi="Arial" w:cs="Arial"/>
          <w:i/>
          <w:iCs/>
          <w:color w:val="000000"/>
        </w:rPr>
        <w:t xml:space="preserve"> </w:t>
      </w:r>
      <w:r w:rsidR="000D045A">
        <w:rPr>
          <w:rFonts w:ascii="Arial" w:hAnsi="Arial" w:cs="Arial"/>
          <w:color w:val="000000"/>
        </w:rPr>
        <w:t>i</w:t>
      </w:r>
      <w:r w:rsidRPr="00AE6111">
        <w:rPr>
          <w:rFonts w:ascii="Arial" w:hAnsi="Arial" w:cs="Arial"/>
          <w:color w:val="000000"/>
        </w:rPr>
        <w:t xml:space="preserve">ndividuals entrusted with information on alleged incidents should refrain from discussing the </w:t>
      </w:r>
      <w:r w:rsidR="009B1B9C">
        <w:rPr>
          <w:rFonts w:ascii="Arial" w:hAnsi="Arial" w:cs="Arial"/>
          <w:color w:val="000000"/>
        </w:rPr>
        <w:t>allegation</w:t>
      </w:r>
      <w:r w:rsidRPr="00AE6111">
        <w:rPr>
          <w:rFonts w:ascii="Arial" w:hAnsi="Arial" w:cs="Arial"/>
          <w:color w:val="000000"/>
        </w:rPr>
        <w:t xml:space="preserve"> with anyone else but the trained PSEA focal point within their organization to ensure utmost confidentiality. </w:t>
      </w:r>
    </w:p>
    <w:p w14:paraId="5478645B" w14:textId="77777777"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rPr>
        <w:t>React calmly and listen carefully to what is being said.</w:t>
      </w:r>
    </w:p>
    <w:p w14:paraId="5478645C" w14:textId="18549789"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rPr>
        <w:t xml:space="preserve">Firstly, assess whether there are immediate medical needs for the </w:t>
      </w:r>
      <w:r w:rsidR="00630989">
        <w:rPr>
          <w:rFonts w:ascii="Arial" w:hAnsi="Arial" w:cs="Arial"/>
        </w:rPr>
        <w:t>complainant.</w:t>
      </w:r>
      <w:r w:rsidRPr="00AE6111">
        <w:rPr>
          <w:rFonts w:ascii="Arial" w:hAnsi="Arial" w:cs="Arial"/>
        </w:rPr>
        <w:t xml:space="preserve"> </w:t>
      </w:r>
    </w:p>
    <w:p w14:paraId="5478645D" w14:textId="087CA3FB"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 xml:space="preserve">Reassure the </w:t>
      </w:r>
      <w:r w:rsidR="00630989">
        <w:rPr>
          <w:rFonts w:ascii="Arial" w:hAnsi="Arial" w:cs="Arial"/>
          <w:color w:val="000000"/>
        </w:rPr>
        <w:t xml:space="preserve">complainant </w:t>
      </w:r>
      <w:r w:rsidRPr="00AE6111">
        <w:rPr>
          <w:rFonts w:ascii="Arial" w:hAnsi="Arial" w:cs="Arial"/>
          <w:color w:val="000000"/>
        </w:rPr>
        <w:t xml:space="preserve">that he or she has the right to </w:t>
      </w:r>
      <w:r w:rsidR="002E7A67">
        <w:rPr>
          <w:rFonts w:ascii="Arial" w:hAnsi="Arial" w:cs="Arial"/>
          <w:color w:val="000000"/>
        </w:rPr>
        <w:t xml:space="preserve">report an </w:t>
      </w:r>
      <w:r w:rsidR="009B1B9C">
        <w:rPr>
          <w:rFonts w:ascii="Arial" w:hAnsi="Arial" w:cs="Arial"/>
          <w:color w:val="000000"/>
        </w:rPr>
        <w:t>allegation</w:t>
      </w:r>
      <w:r w:rsidR="00630989">
        <w:rPr>
          <w:rFonts w:ascii="Arial" w:hAnsi="Arial" w:cs="Arial"/>
          <w:color w:val="000000"/>
        </w:rPr>
        <w:t>, including to relevant authorities</w:t>
      </w:r>
      <w:r w:rsidRPr="00AE6111">
        <w:rPr>
          <w:rFonts w:ascii="Arial" w:hAnsi="Arial" w:cs="Arial"/>
          <w:color w:val="000000"/>
        </w:rPr>
        <w:t>.</w:t>
      </w:r>
    </w:p>
    <w:p w14:paraId="5478645E" w14:textId="42639909" w:rsidR="00B21943"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 xml:space="preserve">Seek consent and address issues of confidentiality - staff members are obliged to report complaints, while reassuring the </w:t>
      </w:r>
      <w:r w:rsidR="00E63AA6">
        <w:rPr>
          <w:rFonts w:ascii="Arial" w:hAnsi="Arial" w:cs="Arial"/>
          <w:color w:val="000000"/>
        </w:rPr>
        <w:t xml:space="preserve">complainant </w:t>
      </w:r>
      <w:r w:rsidRPr="00AE6111">
        <w:rPr>
          <w:rFonts w:ascii="Arial" w:hAnsi="Arial" w:cs="Arial"/>
          <w:color w:val="000000"/>
        </w:rPr>
        <w:t xml:space="preserve">that information </w:t>
      </w:r>
      <w:r w:rsidR="00B374AA">
        <w:rPr>
          <w:rFonts w:ascii="Arial" w:hAnsi="Arial" w:cs="Arial"/>
          <w:color w:val="000000"/>
        </w:rPr>
        <w:t xml:space="preserve">related to the </w:t>
      </w:r>
      <w:r w:rsidR="00726244">
        <w:rPr>
          <w:rFonts w:ascii="Arial" w:hAnsi="Arial" w:cs="Arial"/>
          <w:color w:val="000000"/>
        </w:rPr>
        <w:t>complaint</w:t>
      </w:r>
      <w:r w:rsidR="00B374AA">
        <w:rPr>
          <w:rFonts w:ascii="Arial" w:hAnsi="Arial" w:cs="Arial"/>
          <w:color w:val="000000"/>
        </w:rPr>
        <w:t xml:space="preserve"> </w:t>
      </w:r>
      <w:r w:rsidRPr="00AE6111">
        <w:rPr>
          <w:rFonts w:ascii="Arial" w:hAnsi="Arial" w:cs="Arial"/>
          <w:color w:val="000000"/>
        </w:rPr>
        <w:t>will be kept confidential and only be shared on a “need to know” basis.</w:t>
      </w:r>
    </w:p>
    <w:p w14:paraId="33CFD56D" w14:textId="368078CC" w:rsidR="00F130CE" w:rsidRPr="00AE6111" w:rsidRDefault="00542CCE">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 xml:space="preserve">Due to the sensitive nature of SEA </w:t>
      </w:r>
      <w:r w:rsidR="009B1B9C">
        <w:rPr>
          <w:rFonts w:ascii="Arial" w:hAnsi="Arial" w:cs="Arial"/>
          <w:color w:val="000000"/>
        </w:rPr>
        <w:t>allegations</w:t>
      </w:r>
      <w:r>
        <w:rPr>
          <w:rFonts w:ascii="Arial" w:hAnsi="Arial" w:cs="Arial"/>
          <w:color w:val="000000"/>
        </w:rPr>
        <w:t xml:space="preserve">, </w:t>
      </w:r>
      <w:r w:rsidR="004948BD">
        <w:rPr>
          <w:rFonts w:ascii="Arial" w:hAnsi="Arial" w:cs="Arial"/>
          <w:color w:val="000000"/>
        </w:rPr>
        <w:t xml:space="preserve">make sure to determine the time period during which the informed consent </w:t>
      </w:r>
      <w:r w:rsidR="00BC3189">
        <w:rPr>
          <w:rFonts w:ascii="Arial" w:hAnsi="Arial" w:cs="Arial"/>
          <w:color w:val="000000"/>
        </w:rPr>
        <w:t xml:space="preserve">(related to the referral) </w:t>
      </w:r>
      <w:r w:rsidR="004948BD">
        <w:rPr>
          <w:rFonts w:ascii="Arial" w:hAnsi="Arial" w:cs="Arial"/>
          <w:color w:val="000000"/>
        </w:rPr>
        <w:t xml:space="preserve">obtained from the </w:t>
      </w:r>
      <w:r w:rsidR="00A07617">
        <w:rPr>
          <w:rFonts w:ascii="Arial" w:hAnsi="Arial" w:cs="Arial"/>
          <w:color w:val="000000"/>
        </w:rPr>
        <w:t xml:space="preserve">complainant </w:t>
      </w:r>
      <w:r w:rsidR="004948BD">
        <w:rPr>
          <w:rFonts w:ascii="Arial" w:hAnsi="Arial" w:cs="Arial"/>
          <w:color w:val="000000"/>
        </w:rPr>
        <w:t>is valid.</w:t>
      </w:r>
    </w:p>
    <w:p w14:paraId="5478645F" w14:textId="37FD6915"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 xml:space="preserve">Ask only relevant questions as indicated in the form to gain a clear understanding of the </w:t>
      </w:r>
      <w:r w:rsidR="00726244" w:rsidRPr="00726244">
        <w:rPr>
          <w:rFonts w:ascii="Arial" w:hAnsi="Arial" w:cs="Arial"/>
          <w:color w:val="000000"/>
        </w:rPr>
        <w:t xml:space="preserve">complaint </w:t>
      </w:r>
      <w:r w:rsidRPr="00AE6111">
        <w:rPr>
          <w:rFonts w:ascii="Arial" w:hAnsi="Arial" w:cs="Arial"/>
          <w:color w:val="000000"/>
        </w:rPr>
        <w:t xml:space="preserve">so that it can be referred to the </w:t>
      </w:r>
      <w:r w:rsidR="00377CB6">
        <w:rPr>
          <w:rFonts w:ascii="Arial" w:hAnsi="Arial" w:cs="Arial"/>
          <w:color w:val="000000"/>
        </w:rPr>
        <w:t>relevant</w:t>
      </w:r>
      <w:r w:rsidR="00377CB6" w:rsidRPr="00AE6111">
        <w:rPr>
          <w:rFonts w:ascii="Arial" w:hAnsi="Arial" w:cs="Arial"/>
          <w:color w:val="000000"/>
        </w:rPr>
        <w:t xml:space="preserve"> </w:t>
      </w:r>
      <w:r w:rsidRPr="00AE6111">
        <w:rPr>
          <w:rFonts w:ascii="Arial" w:hAnsi="Arial" w:cs="Arial"/>
          <w:color w:val="000000"/>
        </w:rPr>
        <w:t xml:space="preserve">organization for </w:t>
      </w:r>
      <w:r w:rsidR="00377CB6">
        <w:rPr>
          <w:rFonts w:ascii="Arial" w:hAnsi="Arial" w:cs="Arial"/>
          <w:color w:val="000000"/>
        </w:rPr>
        <w:t>follow up.</w:t>
      </w:r>
    </w:p>
    <w:p w14:paraId="54786460" w14:textId="78BC41E0"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 xml:space="preserve">Ensure that the </w:t>
      </w:r>
      <w:r w:rsidR="00E40ACB">
        <w:rPr>
          <w:rFonts w:ascii="Arial" w:hAnsi="Arial" w:cs="Arial"/>
          <w:color w:val="000000"/>
        </w:rPr>
        <w:t xml:space="preserve">safety of the </w:t>
      </w:r>
      <w:r w:rsidR="00A07617">
        <w:rPr>
          <w:rFonts w:ascii="Arial" w:hAnsi="Arial" w:cs="Arial"/>
          <w:color w:val="000000"/>
        </w:rPr>
        <w:t xml:space="preserve"> complainant</w:t>
      </w:r>
      <w:r w:rsidRPr="00AE6111">
        <w:rPr>
          <w:rFonts w:ascii="Arial" w:hAnsi="Arial" w:cs="Arial"/>
          <w:color w:val="000000"/>
        </w:rPr>
        <w:t xml:space="preserve"> is not at risk. </w:t>
      </w:r>
    </w:p>
    <w:p w14:paraId="54786461" w14:textId="5B208489"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Don’t push for information</w:t>
      </w:r>
      <w:r w:rsidR="002403FF" w:rsidRPr="002403FF">
        <w:rPr>
          <w:rFonts w:ascii="Arial" w:hAnsi="Arial" w:cs="Arial"/>
          <w:color w:val="000000"/>
        </w:rPr>
        <w:t xml:space="preserve"> </w:t>
      </w:r>
      <w:r w:rsidR="002403FF">
        <w:rPr>
          <w:rFonts w:ascii="Arial" w:hAnsi="Arial" w:cs="Arial"/>
          <w:color w:val="000000"/>
        </w:rPr>
        <w:t xml:space="preserve">related to the </w:t>
      </w:r>
      <w:r w:rsidR="00726244" w:rsidRPr="00726244">
        <w:rPr>
          <w:rFonts w:ascii="Arial" w:hAnsi="Arial" w:cs="Arial"/>
          <w:color w:val="000000"/>
        </w:rPr>
        <w:t>complaint</w:t>
      </w:r>
      <w:r w:rsidRPr="00AE6111">
        <w:rPr>
          <w:rFonts w:ascii="Arial" w:hAnsi="Arial" w:cs="Arial"/>
          <w:color w:val="000000"/>
        </w:rPr>
        <w:t xml:space="preserve">, be reassuring and respect the self-space and do not ask ‘why’. Do not be judgemental when collecting information about the </w:t>
      </w:r>
      <w:r w:rsidR="00EC5C67">
        <w:rPr>
          <w:rFonts w:ascii="Arial" w:hAnsi="Arial" w:cs="Arial"/>
          <w:color w:val="000000"/>
        </w:rPr>
        <w:t xml:space="preserve">alleged </w:t>
      </w:r>
      <w:r w:rsidRPr="00AE6111">
        <w:rPr>
          <w:rFonts w:ascii="Arial" w:hAnsi="Arial" w:cs="Arial"/>
          <w:color w:val="000000"/>
        </w:rPr>
        <w:t>incident.</w:t>
      </w:r>
    </w:p>
    <w:p w14:paraId="54786462" w14:textId="4FBCD806"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 xml:space="preserve">Consider (prioritise) the </w:t>
      </w:r>
      <w:r w:rsidR="00A07617">
        <w:rPr>
          <w:rFonts w:ascii="Arial" w:hAnsi="Arial" w:cs="Arial"/>
          <w:color w:val="000000"/>
        </w:rPr>
        <w:t xml:space="preserve">complainant’s </w:t>
      </w:r>
      <w:r w:rsidR="00521C39">
        <w:rPr>
          <w:rFonts w:ascii="Arial" w:hAnsi="Arial" w:cs="Arial"/>
          <w:color w:val="000000"/>
        </w:rPr>
        <w:t xml:space="preserve">need for services, </w:t>
      </w:r>
      <w:r w:rsidRPr="00AE6111">
        <w:rPr>
          <w:rFonts w:ascii="Arial" w:hAnsi="Arial" w:cs="Arial"/>
          <w:color w:val="000000"/>
        </w:rPr>
        <w:t>including medical attention</w:t>
      </w:r>
      <w:r w:rsidR="00521C39">
        <w:rPr>
          <w:rFonts w:ascii="Arial" w:hAnsi="Arial" w:cs="Arial"/>
          <w:color w:val="000000"/>
        </w:rPr>
        <w:t>.</w:t>
      </w:r>
      <w:r w:rsidRPr="00AE6111">
        <w:rPr>
          <w:rFonts w:ascii="Arial" w:hAnsi="Arial" w:cs="Arial"/>
          <w:color w:val="000000"/>
        </w:rPr>
        <w:t xml:space="preserve"> </w:t>
      </w:r>
      <w:r w:rsidR="00521C39">
        <w:rPr>
          <w:rFonts w:ascii="Arial" w:hAnsi="Arial" w:cs="Arial"/>
          <w:color w:val="000000"/>
        </w:rPr>
        <w:t>U</w:t>
      </w:r>
      <w:r w:rsidRPr="00AE6111">
        <w:rPr>
          <w:rFonts w:ascii="Arial" w:hAnsi="Arial" w:cs="Arial"/>
          <w:color w:val="000000"/>
        </w:rPr>
        <w:t>se the available GBV referral pathway if available or seek advice from a GBV spec</w:t>
      </w:r>
      <w:r w:rsidRPr="00AE6111">
        <w:rPr>
          <w:rFonts w:ascii="Arial" w:hAnsi="Arial" w:cs="Arial"/>
        </w:rPr>
        <w:t xml:space="preserve">ialist/focal point to ensure proper survivor centered approach is implemented as soon as possible. </w:t>
      </w:r>
      <w:r w:rsidR="001D7C92" w:rsidRPr="001D7C92">
        <w:rPr>
          <w:rFonts w:ascii="Arial" w:hAnsi="Arial" w:cs="Arial"/>
          <w:b/>
          <w:bCs/>
        </w:rPr>
        <w:t xml:space="preserve">Please refer to the </w:t>
      </w:r>
      <w:r w:rsidR="009B1B9C">
        <w:rPr>
          <w:rFonts w:ascii="Arial" w:hAnsi="Arial" w:cs="Arial"/>
          <w:b/>
          <w:bCs/>
        </w:rPr>
        <w:t>allegation</w:t>
      </w:r>
      <w:r w:rsidR="001D7C92" w:rsidRPr="001D7C92">
        <w:rPr>
          <w:rFonts w:ascii="Arial" w:hAnsi="Arial" w:cs="Arial"/>
          <w:b/>
          <w:bCs/>
        </w:rPr>
        <w:t xml:space="preserve"> report/referral form for types of services that fall under </w:t>
      </w:r>
      <w:r w:rsidR="00FE1547">
        <w:rPr>
          <w:rFonts w:ascii="Arial" w:hAnsi="Arial" w:cs="Arial"/>
          <w:b/>
          <w:bCs/>
        </w:rPr>
        <w:t xml:space="preserve">assistance to </w:t>
      </w:r>
      <w:r w:rsidR="00F2040C">
        <w:rPr>
          <w:rFonts w:ascii="Arial" w:hAnsi="Arial" w:cs="Arial"/>
          <w:b/>
          <w:bCs/>
        </w:rPr>
        <w:t>complainant</w:t>
      </w:r>
      <w:r w:rsidR="00110BD6">
        <w:rPr>
          <w:rFonts w:ascii="Arial" w:hAnsi="Arial" w:cs="Arial"/>
          <w:b/>
          <w:bCs/>
        </w:rPr>
        <w:t xml:space="preserve">. Referrals to these services can only be made upon </w:t>
      </w:r>
      <w:r w:rsidR="00F30B19">
        <w:rPr>
          <w:rFonts w:ascii="Arial" w:hAnsi="Arial" w:cs="Arial"/>
          <w:b/>
          <w:bCs/>
        </w:rPr>
        <w:t>obtaining his/her consent</w:t>
      </w:r>
      <w:r w:rsidR="00110BD6">
        <w:rPr>
          <w:rFonts w:ascii="Arial" w:hAnsi="Arial" w:cs="Arial"/>
          <w:b/>
          <w:bCs/>
        </w:rPr>
        <w:t>.</w:t>
      </w:r>
    </w:p>
    <w:p w14:paraId="54786463" w14:textId="5C03ACC3"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 xml:space="preserve">Recording of information, suspicions or concerns </w:t>
      </w:r>
      <w:r w:rsidR="00C067BF">
        <w:rPr>
          <w:rFonts w:ascii="Arial" w:hAnsi="Arial" w:cs="Arial"/>
          <w:color w:val="000000"/>
        </w:rPr>
        <w:t xml:space="preserve">related to the </w:t>
      </w:r>
      <w:r w:rsidR="00726244" w:rsidRPr="00726244">
        <w:rPr>
          <w:rFonts w:ascii="Arial" w:hAnsi="Arial" w:cs="Arial"/>
          <w:color w:val="000000"/>
        </w:rPr>
        <w:t xml:space="preserve">complaint </w:t>
      </w:r>
      <w:r w:rsidRPr="00AE6111">
        <w:rPr>
          <w:rFonts w:ascii="Arial" w:hAnsi="Arial" w:cs="Arial"/>
          <w:color w:val="000000"/>
        </w:rPr>
        <w:t>needs to be as clear as possible, as it may be used in subsequent</w:t>
      </w:r>
      <w:r w:rsidR="003169BA">
        <w:rPr>
          <w:rFonts w:ascii="Arial" w:hAnsi="Arial" w:cs="Arial"/>
          <w:color w:val="000000"/>
        </w:rPr>
        <w:t xml:space="preserve"> potential</w:t>
      </w:r>
      <w:r w:rsidRPr="00AE6111">
        <w:rPr>
          <w:rFonts w:ascii="Arial" w:hAnsi="Arial" w:cs="Arial"/>
          <w:color w:val="000000"/>
        </w:rPr>
        <w:t xml:space="preserve"> disciplinary or legal action. </w:t>
      </w:r>
      <w:r w:rsidR="00204A52">
        <w:rPr>
          <w:rFonts w:ascii="Arial" w:hAnsi="Arial" w:cs="Arial"/>
          <w:color w:val="000000"/>
        </w:rPr>
        <w:t>This includes</w:t>
      </w:r>
      <w:r w:rsidRPr="00AE6111">
        <w:rPr>
          <w:rFonts w:ascii="Arial" w:hAnsi="Arial" w:cs="Arial"/>
          <w:color w:val="000000"/>
        </w:rPr>
        <w:t xml:space="preserve"> </w:t>
      </w:r>
      <w:r w:rsidR="00204A52">
        <w:rPr>
          <w:rFonts w:ascii="Arial" w:hAnsi="Arial" w:cs="Arial"/>
          <w:color w:val="000000"/>
        </w:rPr>
        <w:t>c</w:t>
      </w:r>
      <w:r w:rsidRPr="00AE6111">
        <w:rPr>
          <w:rFonts w:ascii="Arial" w:hAnsi="Arial" w:cs="Arial"/>
          <w:color w:val="000000"/>
        </w:rPr>
        <w:t xml:space="preserve">orrect names of all </w:t>
      </w:r>
      <w:r w:rsidR="00D85F47">
        <w:rPr>
          <w:rFonts w:ascii="Arial" w:hAnsi="Arial" w:cs="Arial"/>
          <w:color w:val="000000"/>
        </w:rPr>
        <w:t>alleged</w:t>
      </w:r>
      <w:r w:rsidR="008E22DF">
        <w:rPr>
          <w:rFonts w:ascii="Arial" w:hAnsi="Arial" w:cs="Arial"/>
          <w:color w:val="000000"/>
        </w:rPr>
        <w:t>ly</w:t>
      </w:r>
      <w:r w:rsidR="00D85F47">
        <w:rPr>
          <w:rFonts w:ascii="Arial" w:hAnsi="Arial" w:cs="Arial"/>
          <w:color w:val="000000"/>
        </w:rPr>
        <w:t xml:space="preserve"> </w:t>
      </w:r>
      <w:r w:rsidRPr="00AE6111">
        <w:rPr>
          <w:rFonts w:ascii="Arial" w:hAnsi="Arial" w:cs="Arial"/>
          <w:color w:val="000000"/>
        </w:rPr>
        <w:t>involved</w:t>
      </w:r>
      <w:r w:rsidR="00204A52">
        <w:rPr>
          <w:rFonts w:ascii="Arial" w:hAnsi="Arial" w:cs="Arial"/>
          <w:color w:val="000000"/>
        </w:rPr>
        <w:t xml:space="preserve"> as well as</w:t>
      </w:r>
      <w:r w:rsidRPr="00AE6111">
        <w:rPr>
          <w:rFonts w:ascii="Arial" w:hAnsi="Arial" w:cs="Arial"/>
          <w:color w:val="000000"/>
        </w:rPr>
        <w:t xml:space="preserve"> identity numbers of witnesses</w:t>
      </w:r>
      <w:r w:rsidR="008E22DF">
        <w:rPr>
          <w:rFonts w:ascii="Arial" w:hAnsi="Arial" w:cs="Arial"/>
          <w:color w:val="000000"/>
        </w:rPr>
        <w:t xml:space="preserve"> and</w:t>
      </w:r>
      <w:r w:rsidRPr="00AE6111">
        <w:rPr>
          <w:rFonts w:ascii="Arial" w:hAnsi="Arial" w:cs="Arial"/>
          <w:color w:val="000000"/>
        </w:rPr>
        <w:t xml:space="preserve"> </w:t>
      </w:r>
      <w:r w:rsidR="00F2040C">
        <w:rPr>
          <w:rFonts w:ascii="Arial" w:hAnsi="Arial" w:cs="Arial"/>
          <w:color w:val="000000"/>
        </w:rPr>
        <w:t>complainants</w:t>
      </w:r>
      <w:r w:rsidRPr="00AE6111">
        <w:rPr>
          <w:rFonts w:ascii="Arial" w:hAnsi="Arial" w:cs="Arial"/>
          <w:color w:val="000000"/>
        </w:rPr>
        <w:t>.</w:t>
      </w:r>
    </w:p>
    <w:p w14:paraId="54786464" w14:textId="71907DBC" w:rsidR="00B21943" w:rsidRPr="00AE6111" w:rsidRDefault="006E0F30">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 xml:space="preserve">Record an accurate account of what was </w:t>
      </w:r>
      <w:r w:rsidR="001E7B06">
        <w:rPr>
          <w:rFonts w:ascii="Arial" w:hAnsi="Arial" w:cs="Arial"/>
          <w:color w:val="000000"/>
        </w:rPr>
        <w:t>shared</w:t>
      </w:r>
      <w:r w:rsidR="001E7B06" w:rsidRPr="00AE6111">
        <w:rPr>
          <w:rFonts w:ascii="Arial" w:hAnsi="Arial" w:cs="Arial"/>
          <w:color w:val="000000"/>
        </w:rPr>
        <w:t xml:space="preserve"> </w:t>
      </w:r>
      <w:r w:rsidRPr="00AE6111">
        <w:rPr>
          <w:rFonts w:ascii="Arial" w:hAnsi="Arial" w:cs="Arial"/>
          <w:color w:val="000000"/>
        </w:rPr>
        <w:t xml:space="preserve">by </w:t>
      </w:r>
      <w:r w:rsidR="00F2040C">
        <w:rPr>
          <w:rFonts w:ascii="Arial" w:hAnsi="Arial" w:cs="Arial"/>
          <w:color w:val="000000"/>
        </w:rPr>
        <w:t>complainant</w:t>
      </w:r>
      <w:r w:rsidRPr="00AE6111">
        <w:rPr>
          <w:rFonts w:ascii="Arial" w:hAnsi="Arial" w:cs="Arial"/>
          <w:color w:val="000000"/>
        </w:rPr>
        <w:t xml:space="preserve"> in her/his own words. </w:t>
      </w:r>
      <w:r w:rsidR="00487C30">
        <w:rPr>
          <w:rFonts w:ascii="Arial" w:hAnsi="Arial" w:cs="Arial"/>
          <w:color w:val="000000"/>
        </w:rPr>
        <w:t xml:space="preserve">In addition to the </w:t>
      </w:r>
      <w:r w:rsidR="00726244" w:rsidRPr="00726244">
        <w:rPr>
          <w:rFonts w:ascii="Arial" w:hAnsi="Arial" w:cs="Arial"/>
          <w:color w:val="000000"/>
        </w:rPr>
        <w:t>complaint</w:t>
      </w:r>
      <w:r w:rsidR="00487C30">
        <w:rPr>
          <w:rFonts w:ascii="Arial" w:hAnsi="Arial" w:cs="Arial"/>
          <w:color w:val="000000"/>
        </w:rPr>
        <w:t xml:space="preserve">, a </w:t>
      </w:r>
      <w:r w:rsidRPr="00AE6111">
        <w:rPr>
          <w:rFonts w:ascii="Arial" w:hAnsi="Arial" w:cs="Arial"/>
          <w:color w:val="000000"/>
        </w:rPr>
        <w:t>description of any visible sign of abuse or other injuries including a body map, may</w:t>
      </w:r>
      <w:r w:rsidR="00E855DB">
        <w:rPr>
          <w:rFonts w:ascii="Arial" w:hAnsi="Arial" w:cs="Arial"/>
          <w:color w:val="000000"/>
        </w:rPr>
        <w:t xml:space="preserve"> </w:t>
      </w:r>
      <w:r w:rsidRPr="00AE6111">
        <w:rPr>
          <w:rFonts w:ascii="Arial" w:hAnsi="Arial" w:cs="Arial"/>
          <w:color w:val="000000"/>
        </w:rPr>
        <w:t>be helpful.</w:t>
      </w:r>
    </w:p>
    <w:p w14:paraId="730AF35F" w14:textId="620283B2" w:rsidR="007B2B98" w:rsidRDefault="006E0F30" w:rsidP="007B2B98">
      <w:pPr>
        <w:numPr>
          <w:ilvl w:val="0"/>
          <w:numId w:val="1"/>
        </w:numPr>
        <w:pBdr>
          <w:top w:val="nil"/>
          <w:left w:val="nil"/>
          <w:bottom w:val="nil"/>
          <w:right w:val="nil"/>
          <w:between w:val="nil"/>
        </w:pBdr>
        <w:spacing w:before="160"/>
        <w:ind w:left="450"/>
        <w:rPr>
          <w:rFonts w:ascii="Arial" w:hAnsi="Arial" w:cs="Arial"/>
          <w:color w:val="000000"/>
        </w:rPr>
      </w:pPr>
      <w:r w:rsidRPr="00AE6111">
        <w:rPr>
          <w:rFonts w:ascii="Arial" w:hAnsi="Arial" w:cs="Arial"/>
          <w:color w:val="000000"/>
        </w:rPr>
        <w:t xml:space="preserve">Do not try to investigate the </w:t>
      </w:r>
      <w:r w:rsidR="00B76C7D">
        <w:rPr>
          <w:rFonts w:ascii="Arial" w:hAnsi="Arial" w:cs="Arial"/>
          <w:color w:val="000000"/>
        </w:rPr>
        <w:t xml:space="preserve">alleged </w:t>
      </w:r>
      <w:r w:rsidRPr="00AE6111">
        <w:rPr>
          <w:rFonts w:ascii="Arial" w:hAnsi="Arial" w:cs="Arial"/>
          <w:color w:val="000000"/>
        </w:rPr>
        <w:t xml:space="preserve">incident or try to identify if </w:t>
      </w:r>
      <w:r w:rsidR="00984275">
        <w:rPr>
          <w:rFonts w:ascii="Arial" w:hAnsi="Arial" w:cs="Arial"/>
          <w:color w:val="000000"/>
        </w:rPr>
        <w:t>it</w:t>
      </w:r>
      <w:r w:rsidRPr="00AE6111">
        <w:rPr>
          <w:rFonts w:ascii="Arial" w:hAnsi="Arial" w:cs="Arial"/>
          <w:color w:val="000000"/>
        </w:rPr>
        <w:t xml:space="preserve"> </w:t>
      </w:r>
      <w:r w:rsidR="00487C30">
        <w:rPr>
          <w:rFonts w:ascii="Arial" w:hAnsi="Arial" w:cs="Arial"/>
          <w:color w:val="000000"/>
        </w:rPr>
        <w:t xml:space="preserve">did or did not </w:t>
      </w:r>
      <w:r w:rsidRPr="00AE6111">
        <w:rPr>
          <w:rFonts w:ascii="Arial" w:hAnsi="Arial" w:cs="Arial"/>
          <w:color w:val="000000"/>
        </w:rPr>
        <w:t xml:space="preserve">actually </w:t>
      </w:r>
      <w:r w:rsidR="00487C30">
        <w:rPr>
          <w:rFonts w:ascii="Arial" w:hAnsi="Arial" w:cs="Arial"/>
          <w:color w:val="000000"/>
        </w:rPr>
        <w:t>take</w:t>
      </w:r>
      <w:r w:rsidRPr="00AE6111">
        <w:rPr>
          <w:rFonts w:ascii="Arial" w:hAnsi="Arial" w:cs="Arial"/>
          <w:color w:val="000000"/>
        </w:rPr>
        <w:t xml:space="preserve"> place. This is the role and responsibility of specific individuals within the organization as well as law enforcement (in </w:t>
      </w:r>
      <w:r w:rsidR="00E2590F">
        <w:rPr>
          <w:rFonts w:ascii="Arial" w:hAnsi="Arial" w:cs="Arial"/>
          <w:color w:val="000000"/>
        </w:rPr>
        <w:t>allegations</w:t>
      </w:r>
      <w:r w:rsidRPr="00AE6111">
        <w:rPr>
          <w:rFonts w:ascii="Arial" w:hAnsi="Arial" w:cs="Arial"/>
          <w:color w:val="000000"/>
        </w:rPr>
        <w:t xml:space="preserve"> where the </w:t>
      </w:r>
      <w:r w:rsidR="00961C09">
        <w:rPr>
          <w:rFonts w:ascii="Arial" w:hAnsi="Arial" w:cs="Arial"/>
          <w:color w:val="000000"/>
        </w:rPr>
        <w:t xml:space="preserve">complainant </w:t>
      </w:r>
      <w:r w:rsidRPr="009959A1">
        <w:rPr>
          <w:rFonts w:ascii="Arial" w:hAnsi="Arial" w:cs="Arial"/>
          <w:color w:val="000000"/>
        </w:rPr>
        <w:t>provide</w:t>
      </w:r>
      <w:r w:rsidR="007C5C84" w:rsidRPr="009959A1">
        <w:rPr>
          <w:rFonts w:ascii="Arial" w:hAnsi="Arial" w:cs="Arial"/>
          <w:color w:val="000000"/>
        </w:rPr>
        <w:t>s</w:t>
      </w:r>
      <w:r w:rsidRPr="009959A1">
        <w:rPr>
          <w:rFonts w:ascii="Arial" w:hAnsi="Arial" w:cs="Arial"/>
          <w:color w:val="000000"/>
        </w:rPr>
        <w:t xml:space="preserve"> consent to </w:t>
      </w:r>
      <w:r w:rsidR="00B7223C">
        <w:rPr>
          <w:rFonts w:ascii="Arial" w:hAnsi="Arial" w:cs="Arial"/>
          <w:color w:val="000000"/>
        </w:rPr>
        <w:t xml:space="preserve">and expressly requests to </w:t>
      </w:r>
      <w:r w:rsidR="000D02E7">
        <w:rPr>
          <w:rFonts w:ascii="Arial" w:hAnsi="Arial" w:cs="Arial"/>
          <w:color w:val="000000"/>
        </w:rPr>
        <w:t>submit an official complaint/</w:t>
      </w:r>
      <w:r w:rsidR="00B7223C">
        <w:rPr>
          <w:rFonts w:ascii="Arial" w:hAnsi="Arial" w:cs="Arial"/>
          <w:color w:val="000000"/>
        </w:rPr>
        <w:t>report</w:t>
      </w:r>
      <w:r w:rsidR="000D02E7">
        <w:rPr>
          <w:rFonts w:ascii="Arial" w:hAnsi="Arial" w:cs="Arial"/>
          <w:color w:val="000000"/>
        </w:rPr>
        <w:t xml:space="preserve"> the alleged incident to relevant </w:t>
      </w:r>
      <w:r w:rsidRPr="009959A1">
        <w:rPr>
          <w:rFonts w:ascii="Arial" w:hAnsi="Arial" w:cs="Arial"/>
          <w:color w:val="000000"/>
        </w:rPr>
        <w:lastRenderedPageBreak/>
        <w:t>authorities</w:t>
      </w:r>
      <w:r w:rsidR="00F472E4" w:rsidRPr="009959A1">
        <w:rPr>
          <w:rFonts w:ascii="Arial" w:hAnsi="Arial" w:cs="Arial"/>
          <w:color w:val="000000"/>
        </w:rPr>
        <w:t xml:space="preserve">, or when the </w:t>
      </w:r>
      <w:r w:rsidR="00E2590F">
        <w:rPr>
          <w:rFonts w:ascii="Arial" w:hAnsi="Arial" w:cs="Arial"/>
          <w:color w:val="000000"/>
        </w:rPr>
        <w:t>allegation</w:t>
      </w:r>
      <w:r w:rsidR="00F472E4" w:rsidRPr="009959A1">
        <w:rPr>
          <w:rFonts w:ascii="Arial" w:hAnsi="Arial" w:cs="Arial"/>
          <w:color w:val="000000"/>
        </w:rPr>
        <w:t xml:space="preserve"> falls under mandatory reporting requirements per national legislation</w:t>
      </w:r>
      <w:r w:rsidR="007F3EC8" w:rsidRPr="009959A1">
        <w:rPr>
          <w:rFonts w:ascii="Arial" w:hAnsi="Arial" w:cs="Arial"/>
          <w:color w:val="000000"/>
        </w:rPr>
        <w:t>, for which guidance is provided below</w:t>
      </w:r>
      <w:r w:rsidRPr="009959A1">
        <w:rPr>
          <w:rFonts w:ascii="Arial" w:hAnsi="Arial" w:cs="Arial"/>
          <w:color w:val="000000"/>
        </w:rPr>
        <w:t>).</w:t>
      </w:r>
    </w:p>
    <w:p w14:paraId="1322581F" w14:textId="7A5AA78D" w:rsidR="00841EDF" w:rsidRDefault="00841EDF" w:rsidP="007B2B98">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 xml:space="preserve">For more information on </w:t>
      </w:r>
      <w:r w:rsidR="00D622F6">
        <w:rPr>
          <w:rFonts w:ascii="Arial" w:hAnsi="Arial" w:cs="Arial"/>
          <w:color w:val="000000"/>
        </w:rPr>
        <w:t xml:space="preserve">facilitating protection sensitive referrals and those specific to an </w:t>
      </w:r>
      <w:r w:rsidR="009B1B9C">
        <w:rPr>
          <w:rFonts w:ascii="Arial" w:hAnsi="Arial" w:cs="Arial"/>
          <w:color w:val="000000"/>
        </w:rPr>
        <w:t>allegation</w:t>
      </w:r>
      <w:r w:rsidR="00D622F6">
        <w:rPr>
          <w:rFonts w:ascii="Arial" w:hAnsi="Arial" w:cs="Arial"/>
          <w:color w:val="000000"/>
        </w:rPr>
        <w:t xml:space="preserve"> of </w:t>
      </w:r>
      <w:r w:rsidR="00E300A9">
        <w:rPr>
          <w:rFonts w:ascii="Arial" w:hAnsi="Arial" w:cs="Arial"/>
          <w:color w:val="000000"/>
        </w:rPr>
        <w:t>GBV</w:t>
      </w:r>
      <w:r w:rsidR="00D622F6">
        <w:rPr>
          <w:rFonts w:ascii="Arial" w:hAnsi="Arial" w:cs="Arial"/>
          <w:color w:val="000000"/>
        </w:rPr>
        <w:t xml:space="preserve"> (which SEA </w:t>
      </w:r>
      <w:r w:rsidR="00E2590F">
        <w:rPr>
          <w:rFonts w:ascii="Arial" w:hAnsi="Arial" w:cs="Arial"/>
          <w:color w:val="000000"/>
        </w:rPr>
        <w:t>allegations</w:t>
      </w:r>
      <w:r w:rsidR="00D622F6">
        <w:rPr>
          <w:rFonts w:ascii="Arial" w:hAnsi="Arial" w:cs="Arial"/>
          <w:color w:val="000000"/>
        </w:rPr>
        <w:t xml:space="preserve"> fall under), please refer to the </w:t>
      </w:r>
      <w:hyperlink r:id="rId13" w:history="1">
        <w:r w:rsidR="006C20A7">
          <w:rPr>
            <w:rStyle w:val="Hyperlink"/>
            <w:rFonts w:ascii="Arial" w:hAnsi="Arial" w:cs="Arial"/>
            <w:b/>
            <w:bCs/>
          </w:rPr>
          <w:t>3RP Inter-Agency Referral Form package</w:t>
        </w:r>
      </w:hyperlink>
      <w:r w:rsidR="006C20A7">
        <w:rPr>
          <w:rStyle w:val="Hyperlink"/>
          <w:rFonts w:ascii="Arial" w:hAnsi="Arial" w:cs="Arial"/>
          <w:b/>
          <w:bCs/>
        </w:rPr>
        <w:t xml:space="preserve"> </w:t>
      </w:r>
      <w:r w:rsidR="00D622F6">
        <w:rPr>
          <w:rFonts w:ascii="Arial" w:hAnsi="Arial" w:cs="Arial"/>
          <w:color w:val="000000"/>
        </w:rPr>
        <w:t xml:space="preserve">and the </w:t>
      </w:r>
      <w:hyperlink r:id="rId14" w:history="1">
        <w:r w:rsidR="00D622F6" w:rsidRPr="0065208D">
          <w:rPr>
            <w:rStyle w:val="Hyperlink"/>
            <w:rFonts w:ascii="Arial" w:hAnsi="Arial" w:cs="Arial"/>
            <w:b/>
            <w:bCs/>
          </w:rPr>
          <w:t xml:space="preserve">3RP Inter-Agency </w:t>
        </w:r>
        <w:r w:rsidR="00E300A9" w:rsidRPr="0065208D">
          <w:rPr>
            <w:rStyle w:val="Hyperlink"/>
            <w:rFonts w:ascii="Arial" w:hAnsi="Arial" w:cs="Arial"/>
            <w:b/>
            <w:bCs/>
          </w:rPr>
          <w:t>GBV</w:t>
        </w:r>
        <w:r w:rsidR="00D622F6" w:rsidRPr="0065208D">
          <w:rPr>
            <w:rStyle w:val="Hyperlink"/>
            <w:rFonts w:ascii="Arial" w:hAnsi="Arial" w:cs="Arial"/>
            <w:b/>
            <w:bCs/>
          </w:rPr>
          <w:t xml:space="preserve"> Standard Operating Procedures</w:t>
        </w:r>
      </w:hyperlink>
      <w:r w:rsidR="00D622F6" w:rsidRPr="00BB263E">
        <w:rPr>
          <w:rFonts w:ascii="Arial" w:hAnsi="Arial" w:cs="Arial"/>
          <w:b/>
          <w:bCs/>
          <w:color w:val="000000"/>
        </w:rPr>
        <w:t>.</w:t>
      </w:r>
      <w:r w:rsidR="00D622F6">
        <w:rPr>
          <w:rFonts w:ascii="Arial" w:hAnsi="Arial" w:cs="Arial"/>
          <w:color w:val="000000"/>
        </w:rPr>
        <w:t xml:space="preserve"> </w:t>
      </w:r>
    </w:p>
    <w:p w14:paraId="555F90DB" w14:textId="03E20413" w:rsidR="007B2B98" w:rsidRPr="007B2B98" w:rsidRDefault="007B2B98" w:rsidP="007B2B98">
      <w:pPr>
        <w:pBdr>
          <w:top w:val="nil"/>
          <w:left w:val="nil"/>
          <w:bottom w:val="nil"/>
          <w:right w:val="nil"/>
          <w:between w:val="nil"/>
        </w:pBdr>
        <w:spacing w:before="160"/>
        <w:rPr>
          <w:rFonts w:ascii="Arial" w:hAnsi="Arial" w:cs="Arial"/>
          <w:b/>
          <w:bCs/>
          <w:color w:val="000000"/>
        </w:rPr>
      </w:pPr>
      <w:r w:rsidRPr="007B2B98">
        <w:rPr>
          <w:rFonts w:ascii="Arial" w:hAnsi="Arial" w:cs="Arial"/>
          <w:b/>
          <w:bCs/>
          <w:color w:val="000000"/>
        </w:rPr>
        <w:t>How to Ensure Protection of Confidential Information</w:t>
      </w:r>
    </w:p>
    <w:p w14:paraId="5CA7FE92" w14:textId="72A27657" w:rsidR="00205551" w:rsidRDefault="009F364B">
      <w:pPr>
        <w:numPr>
          <w:ilvl w:val="0"/>
          <w:numId w:val="1"/>
        </w:numPr>
        <w:pBdr>
          <w:top w:val="nil"/>
          <w:left w:val="nil"/>
          <w:bottom w:val="nil"/>
          <w:right w:val="nil"/>
          <w:between w:val="nil"/>
        </w:pBdr>
        <w:spacing w:before="160"/>
        <w:ind w:left="450"/>
        <w:rPr>
          <w:rFonts w:ascii="Arial" w:hAnsi="Arial" w:cs="Arial"/>
        </w:rPr>
      </w:pPr>
      <w:r>
        <w:rPr>
          <w:rFonts w:ascii="Arial" w:hAnsi="Arial" w:cs="Arial"/>
        </w:rPr>
        <w:t xml:space="preserve">The principles of a survivor-centered approach, do no harm, and confidentiality, which are all critical considerations in </w:t>
      </w:r>
      <w:r w:rsidR="00B66B14">
        <w:rPr>
          <w:rFonts w:ascii="Arial" w:hAnsi="Arial" w:cs="Arial"/>
        </w:rPr>
        <w:t xml:space="preserve">response to an SEA </w:t>
      </w:r>
      <w:r w:rsidR="009B1B9C">
        <w:rPr>
          <w:rFonts w:ascii="Arial" w:hAnsi="Arial" w:cs="Arial"/>
        </w:rPr>
        <w:t>allegation</w:t>
      </w:r>
      <w:r w:rsidR="00B66B14">
        <w:rPr>
          <w:rFonts w:ascii="Arial" w:hAnsi="Arial" w:cs="Arial"/>
        </w:rPr>
        <w:t>, promotes and supports safety, trust and empowerment. Confidential</w:t>
      </w:r>
      <w:r w:rsidR="008F7954">
        <w:rPr>
          <w:rFonts w:ascii="Arial" w:hAnsi="Arial" w:cs="Arial"/>
        </w:rPr>
        <w:t xml:space="preserve">ity means that anyone who has access to </w:t>
      </w:r>
      <w:r w:rsidR="005F5ABD">
        <w:rPr>
          <w:rFonts w:ascii="Arial" w:hAnsi="Arial" w:cs="Arial"/>
        </w:rPr>
        <w:t xml:space="preserve">relevant </w:t>
      </w:r>
      <w:r w:rsidR="008F7954">
        <w:rPr>
          <w:rFonts w:ascii="Arial" w:hAnsi="Arial" w:cs="Arial"/>
        </w:rPr>
        <w:t xml:space="preserve">information about </w:t>
      </w:r>
      <w:r w:rsidR="009F4E34">
        <w:rPr>
          <w:rFonts w:ascii="Arial" w:hAnsi="Arial" w:cs="Arial"/>
        </w:rPr>
        <w:t xml:space="preserve">the complainant </w:t>
      </w:r>
      <w:r w:rsidR="008F7954">
        <w:rPr>
          <w:rFonts w:ascii="Arial" w:hAnsi="Arial" w:cs="Arial"/>
        </w:rPr>
        <w:t xml:space="preserve">must not share any of that information without the explicit permission and informed consent of the </w:t>
      </w:r>
      <w:r w:rsidR="005F5ABD">
        <w:rPr>
          <w:rFonts w:ascii="Arial" w:hAnsi="Arial" w:cs="Arial"/>
        </w:rPr>
        <w:t>person</w:t>
      </w:r>
      <w:r w:rsidR="008F7954">
        <w:rPr>
          <w:rFonts w:ascii="Arial" w:hAnsi="Arial" w:cs="Arial"/>
        </w:rPr>
        <w:t xml:space="preserve">. </w:t>
      </w:r>
    </w:p>
    <w:p w14:paraId="02F0E84D" w14:textId="40E60EC9" w:rsidR="00C82CC3" w:rsidRDefault="008F7954">
      <w:pPr>
        <w:numPr>
          <w:ilvl w:val="0"/>
          <w:numId w:val="1"/>
        </w:numPr>
        <w:pBdr>
          <w:top w:val="nil"/>
          <w:left w:val="nil"/>
          <w:bottom w:val="nil"/>
          <w:right w:val="nil"/>
          <w:between w:val="nil"/>
        </w:pBdr>
        <w:spacing w:before="160"/>
        <w:ind w:left="450"/>
        <w:rPr>
          <w:rFonts w:ascii="Arial" w:hAnsi="Arial" w:cs="Arial"/>
        </w:rPr>
      </w:pPr>
      <w:r>
        <w:rPr>
          <w:rFonts w:ascii="Arial" w:hAnsi="Arial" w:cs="Arial"/>
        </w:rPr>
        <w:t xml:space="preserve">Considering the </w:t>
      </w:r>
      <w:r w:rsidR="007A534C">
        <w:rPr>
          <w:rFonts w:ascii="Arial" w:hAnsi="Arial" w:cs="Arial"/>
        </w:rPr>
        <w:t xml:space="preserve">sensitive </w:t>
      </w:r>
      <w:r>
        <w:rPr>
          <w:rFonts w:ascii="Arial" w:hAnsi="Arial" w:cs="Arial"/>
        </w:rPr>
        <w:t xml:space="preserve">nature of information collected </w:t>
      </w:r>
      <w:r w:rsidR="003A3B9B">
        <w:rPr>
          <w:rFonts w:ascii="Arial" w:hAnsi="Arial" w:cs="Arial"/>
        </w:rPr>
        <w:t>in the processing of an</w:t>
      </w:r>
      <w:r w:rsidR="001B4A87">
        <w:rPr>
          <w:rFonts w:ascii="Arial" w:hAnsi="Arial" w:cs="Arial"/>
        </w:rPr>
        <w:t xml:space="preserve"> alleged</w:t>
      </w:r>
      <w:r w:rsidR="003A3B9B">
        <w:rPr>
          <w:rFonts w:ascii="Arial" w:hAnsi="Arial" w:cs="Arial"/>
        </w:rPr>
        <w:t xml:space="preserve"> SEA </w:t>
      </w:r>
      <w:r w:rsidR="009F4E34">
        <w:rPr>
          <w:rFonts w:ascii="Arial" w:hAnsi="Arial" w:cs="Arial"/>
        </w:rPr>
        <w:t>incident</w:t>
      </w:r>
      <w:r w:rsidR="003A3B9B">
        <w:rPr>
          <w:rFonts w:ascii="Arial" w:hAnsi="Arial" w:cs="Arial"/>
        </w:rPr>
        <w:t xml:space="preserve">, staff have a responsibility to ensure that the information collected is handled in a confidential and protection-sensitive manner, to avoid putting the </w:t>
      </w:r>
      <w:r w:rsidR="009F4E34">
        <w:rPr>
          <w:rFonts w:ascii="Arial" w:hAnsi="Arial" w:cs="Arial"/>
        </w:rPr>
        <w:t xml:space="preserve">complainant </w:t>
      </w:r>
      <w:r w:rsidR="003A3B9B">
        <w:rPr>
          <w:rFonts w:ascii="Arial" w:hAnsi="Arial" w:cs="Arial"/>
        </w:rPr>
        <w:t>at risk of further harm.</w:t>
      </w:r>
      <w:r w:rsidR="007A534C">
        <w:rPr>
          <w:rFonts w:ascii="Arial" w:hAnsi="Arial" w:cs="Arial"/>
        </w:rPr>
        <w:t xml:space="preserve"> Not doing so may have serious </w:t>
      </w:r>
      <w:r w:rsidR="00E51436">
        <w:rPr>
          <w:rFonts w:ascii="Arial" w:hAnsi="Arial" w:cs="Arial"/>
        </w:rPr>
        <w:t xml:space="preserve">and potentially life-threatening </w:t>
      </w:r>
      <w:r w:rsidR="007A534C">
        <w:rPr>
          <w:rFonts w:ascii="Arial" w:hAnsi="Arial" w:cs="Arial"/>
        </w:rPr>
        <w:t xml:space="preserve">consequences </w:t>
      </w:r>
      <w:r w:rsidR="000B2198">
        <w:rPr>
          <w:rFonts w:ascii="Arial" w:hAnsi="Arial" w:cs="Arial"/>
        </w:rPr>
        <w:t xml:space="preserve">for the </w:t>
      </w:r>
      <w:r w:rsidR="009F4E34">
        <w:rPr>
          <w:rFonts w:ascii="Arial" w:hAnsi="Arial" w:cs="Arial"/>
        </w:rPr>
        <w:t xml:space="preserve">complainant </w:t>
      </w:r>
      <w:r w:rsidR="00571F21">
        <w:rPr>
          <w:rFonts w:ascii="Arial" w:hAnsi="Arial" w:cs="Arial"/>
        </w:rPr>
        <w:t>or</w:t>
      </w:r>
      <w:r w:rsidR="00E51436">
        <w:rPr>
          <w:rFonts w:ascii="Arial" w:hAnsi="Arial" w:cs="Arial"/>
        </w:rPr>
        <w:t xml:space="preserve"> those trying to support the </w:t>
      </w:r>
      <w:r w:rsidR="001B4A87">
        <w:rPr>
          <w:rFonts w:ascii="Arial" w:hAnsi="Arial" w:cs="Arial"/>
        </w:rPr>
        <w:t xml:space="preserve">person </w:t>
      </w:r>
      <w:r w:rsidR="000B2198">
        <w:rPr>
          <w:rFonts w:ascii="Arial" w:hAnsi="Arial" w:cs="Arial"/>
        </w:rPr>
        <w:t>and others at risk</w:t>
      </w:r>
      <w:r w:rsidR="00E51436">
        <w:rPr>
          <w:rFonts w:ascii="Arial" w:hAnsi="Arial" w:cs="Arial"/>
        </w:rPr>
        <w:t xml:space="preserve"> of SEA</w:t>
      </w:r>
      <w:r w:rsidR="000B2198">
        <w:rPr>
          <w:rFonts w:ascii="Arial" w:hAnsi="Arial" w:cs="Arial"/>
        </w:rPr>
        <w:t xml:space="preserve">, and may discourage other individuals from seeking the support they require. </w:t>
      </w:r>
    </w:p>
    <w:p w14:paraId="1B6749EE" w14:textId="66FDD992" w:rsidR="007E1102" w:rsidRDefault="000B2198">
      <w:pPr>
        <w:numPr>
          <w:ilvl w:val="0"/>
          <w:numId w:val="1"/>
        </w:numPr>
        <w:pBdr>
          <w:top w:val="nil"/>
          <w:left w:val="nil"/>
          <w:bottom w:val="nil"/>
          <w:right w:val="nil"/>
          <w:between w:val="nil"/>
        </w:pBdr>
        <w:spacing w:before="160"/>
        <w:ind w:left="450"/>
        <w:rPr>
          <w:rFonts w:ascii="Arial" w:hAnsi="Arial" w:cs="Arial"/>
        </w:rPr>
      </w:pPr>
      <w:r>
        <w:rPr>
          <w:rFonts w:ascii="Arial" w:hAnsi="Arial" w:cs="Arial"/>
        </w:rPr>
        <w:t xml:space="preserve">This section of the guidance note aims to promote practical standards around how to ensure protection of confidential information through encrypting/password protecting </w:t>
      </w:r>
      <w:r w:rsidR="00A728D8">
        <w:rPr>
          <w:rFonts w:ascii="Arial" w:hAnsi="Arial" w:cs="Arial"/>
        </w:rPr>
        <w:t>forms and tools that contain sensitive inform</w:t>
      </w:r>
      <w:r w:rsidR="00C970BA">
        <w:rPr>
          <w:rFonts w:ascii="Arial" w:hAnsi="Arial" w:cs="Arial"/>
        </w:rPr>
        <w:t>a</w:t>
      </w:r>
      <w:r w:rsidR="00A728D8">
        <w:rPr>
          <w:rFonts w:ascii="Arial" w:hAnsi="Arial" w:cs="Arial"/>
        </w:rPr>
        <w:t xml:space="preserve">tion about alleged SEA </w:t>
      </w:r>
      <w:r w:rsidR="00AB7FCB">
        <w:rPr>
          <w:rFonts w:ascii="Arial" w:hAnsi="Arial" w:cs="Arial"/>
        </w:rPr>
        <w:t>incidents</w:t>
      </w:r>
      <w:r w:rsidR="00A728D8">
        <w:rPr>
          <w:rFonts w:ascii="Arial" w:hAnsi="Arial" w:cs="Arial"/>
        </w:rPr>
        <w:t>.</w:t>
      </w:r>
    </w:p>
    <w:p w14:paraId="467231CA" w14:textId="1C516AA4" w:rsidR="0007618A" w:rsidRDefault="006E0F30">
      <w:pPr>
        <w:numPr>
          <w:ilvl w:val="0"/>
          <w:numId w:val="1"/>
        </w:numPr>
        <w:pBdr>
          <w:top w:val="nil"/>
          <w:left w:val="nil"/>
          <w:bottom w:val="nil"/>
          <w:right w:val="nil"/>
          <w:between w:val="nil"/>
        </w:pBdr>
        <w:spacing w:before="160"/>
        <w:ind w:left="450"/>
        <w:rPr>
          <w:rFonts w:ascii="Arial" w:hAnsi="Arial" w:cs="Arial"/>
        </w:rPr>
      </w:pPr>
      <w:r w:rsidRPr="00AE6111">
        <w:rPr>
          <w:rFonts w:ascii="Arial" w:hAnsi="Arial" w:cs="Arial"/>
        </w:rPr>
        <w:t xml:space="preserve">Make sure to </w:t>
      </w:r>
      <w:r w:rsidR="002477CA">
        <w:rPr>
          <w:rFonts w:ascii="Arial" w:hAnsi="Arial" w:cs="Arial"/>
        </w:rPr>
        <w:t xml:space="preserve">first zip the folder containing the </w:t>
      </w:r>
      <w:r w:rsidR="009B1B9C">
        <w:rPr>
          <w:rFonts w:ascii="Arial" w:hAnsi="Arial" w:cs="Arial"/>
        </w:rPr>
        <w:t>allegation</w:t>
      </w:r>
      <w:r w:rsidR="002477CA">
        <w:rPr>
          <w:rFonts w:ascii="Arial" w:hAnsi="Arial" w:cs="Arial"/>
        </w:rPr>
        <w:t xml:space="preserve"> report/referral form and the consent form (as well as any other supportive documents that may be required to facilitate a succesful report/referral), then encrypt/</w:t>
      </w:r>
      <w:r w:rsidRPr="00AE6111">
        <w:rPr>
          <w:rFonts w:ascii="Arial" w:hAnsi="Arial" w:cs="Arial"/>
        </w:rPr>
        <w:t xml:space="preserve">password protect the </w:t>
      </w:r>
      <w:r w:rsidR="002477CA">
        <w:rPr>
          <w:rFonts w:ascii="Arial" w:hAnsi="Arial" w:cs="Arial"/>
        </w:rPr>
        <w:t xml:space="preserve">folder </w:t>
      </w:r>
      <w:r w:rsidRPr="00AE6111">
        <w:rPr>
          <w:rFonts w:ascii="Arial" w:hAnsi="Arial" w:cs="Arial"/>
        </w:rPr>
        <w:t xml:space="preserve">when sharing with the relevant organization. Refer to </w:t>
      </w:r>
      <w:r w:rsidR="0007618A">
        <w:rPr>
          <w:rFonts w:ascii="Arial" w:hAnsi="Arial" w:cs="Arial"/>
        </w:rPr>
        <w:t xml:space="preserve">additional information on considerations during the process of password encrypting, as well as </w:t>
      </w:r>
      <w:r w:rsidRPr="00AE6111">
        <w:rPr>
          <w:rFonts w:ascii="Arial" w:hAnsi="Arial" w:cs="Arial"/>
        </w:rPr>
        <w:t>th</w:t>
      </w:r>
      <w:r w:rsidR="00122AF8">
        <w:rPr>
          <w:rFonts w:ascii="Arial" w:hAnsi="Arial" w:cs="Arial"/>
        </w:rPr>
        <w:t xml:space="preserve">e </w:t>
      </w:r>
      <w:hyperlink r:id="rId15" w:history="1">
        <w:r w:rsidR="006C20A7">
          <w:rPr>
            <w:rStyle w:val="Hyperlink"/>
            <w:rFonts w:ascii="Arial" w:hAnsi="Arial" w:cs="Arial"/>
            <w:b/>
            <w:bCs/>
          </w:rPr>
          <w:t>3RP Inter-Agency Referral Form package</w:t>
        </w:r>
      </w:hyperlink>
      <w:r w:rsidRPr="00AE6111">
        <w:rPr>
          <w:rFonts w:ascii="Arial" w:hAnsi="Arial" w:cs="Arial"/>
        </w:rPr>
        <w:t xml:space="preserve"> </w:t>
      </w:r>
      <w:r w:rsidR="00323043">
        <w:rPr>
          <w:rFonts w:ascii="Arial" w:hAnsi="Arial" w:cs="Arial"/>
        </w:rPr>
        <w:t xml:space="preserve">and </w:t>
      </w:r>
      <w:hyperlink r:id="rId16" w:history="1">
        <w:r w:rsidR="00323043" w:rsidRPr="00A03E23">
          <w:rPr>
            <w:rStyle w:val="Hyperlink"/>
            <w:rFonts w:ascii="Arial" w:hAnsi="Arial" w:cs="Arial"/>
            <w:b/>
            <w:bCs/>
          </w:rPr>
          <w:t>website</w:t>
        </w:r>
      </w:hyperlink>
      <w:r w:rsidR="00323043" w:rsidRPr="00A03E23">
        <w:rPr>
          <w:rFonts w:ascii="Arial" w:hAnsi="Arial" w:cs="Arial"/>
          <w:b/>
          <w:bCs/>
        </w:rPr>
        <w:t xml:space="preserve"> </w:t>
      </w:r>
      <w:r w:rsidRPr="00AE6111">
        <w:rPr>
          <w:rFonts w:ascii="Arial" w:hAnsi="Arial" w:cs="Arial"/>
        </w:rPr>
        <w:t>on how to encrypt word documents</w:t>
      </w:r>
      <w:r w:rsidR="0007618A">
        <w:rPr>
          <w:rFonts w:ascii="Arial" w:hAnsi="Arial" w:cs="Arial"/>
        </w:rPr>
        <w:t>:</w:t>
      </w:r>
    </w:p>
    <w:p w14:paraId="1385E3FB" w14:textId="5CFA7FBE" w:rsidR="00BD75C3" w:rsidRPr="00BD75C3" w:rsidRDefault="00BD75C3" w:rsidP="00BD75C3">
      <w:pPr>
        <w:numPr>
          <w:ilvl w:val="0"/>
          <w:numId w:val="1"/>
        </w:numPr>
        <w:pBdr>
          <w:top w:val="nil"/>
          <w:left w:val="nil"/>
          <w:bottom w:val="nil"/>
          <w:right w:val="nil"/>
          <w:between w:val="nil"/>
        </w:pBdr>
        <w:tabs>
          <w:tab w:val="num" w:pos="720"/>
        </w:tabs>
        <w:spacing w:before="160"/>
        <w:ind w:left="450"/>
        <w:rPr>
          <w:rFonts w:ascii="Arial" w:hAnsi="Arial" w:cs="Arial"/>
          <w:lang w:val="en-US"/>
        </w:rPr>
      </w:pPr>
      <w:r w:rsidRPr="00BD75C3">
        <w:rPr>
          <w:rFonts w:ascii="Arial" w:hAnsi="Arial" w:cs="Arial"/>
          <w:lang w:val="en-US"/>
        </w:rPr>
        <w:t xml:space="preserve">Zipped folders (containing the </w:t>
      </w:r>
      <w:r w:rsidR="009B1B9C">
        <w:rPr>
          <w:rFonts w:ascii="Arial" w:hAnsi="Arial" w:cs="Arial"/>
          <w:lang w:val="en-US"/>
        </w:rPr>
        <w:t>allegation</w:t>
      </w:r>
      <w:r w:rsidRPr="00BD75C3">
        <w:rPr>
          <w:rFonts w:ascii="Arial" w:hAnsi="Arial" w:cs="Arial"/>
          <w:lang w:val="en-US"/>
        </w:rPr>
        <w:t xml:space="preserve"> report/referral form and the signed consent form) must be encrypted/password protected as it will contain identifiable and sensitive information. </w:t>
      </w:r>
      <w:r w:rsidR="009050E2" w:rsidRPr="003E3359">
        <w:rPr>
          <w:rFonts w:ascii="Arial" w:hAnsi="Arial" w:cs="Arial"/>
          <w:lang w:val="en-US"/>
        </w:rPr>
        <w:t xml:space="preserve">As mentioned above, remember that the time period specified for how long the informed consent to be obtained from the </w:t>
      </w:r>
      <w:r w:rsidR="009F4E34">
        <w:rPr>
          <w:rFonts w:ascii="Arial" w:hAnsi="Arial" w:cs="Arial"/>
          <w:lang w:val="en-US"/>
        </w:rPr>
        <w:t>complainant</w:t>
      </w:r>
      <w:r w:rsidR="009050E2" w:rsidRPr="003E3359">
        <w:rPr>
          <w:rFonts w:ascii="Arial" w:hAnsi="Arial" w:cs="Arial"/>
          <w:lang w:val="en-US"/>
        </w:rPr>
        <w:t xml:space="preserve"> regarding the referral of the </w:t>
      </w:r>
      <w:r w:rsidR="00726244" w:rsidRPr="00726244">
        <w:rPr>
          <w:rFonts w:ascii="Arial" w:hAnsi="Arial" w:cs="Arial"/>
          <w:lang w:val="en-US"/>
        </w:rPr>
        <w:t xml:space="preserve">complaint </w:t>
      </w:r>
      <w:r w:rsidR="009050E2" w:rsidRPr="003E3359">
        <w:rPr>
          <w:rFonts w:ascii="Arial" w:hAnsi="Arial" w:cs="Arial"/>
          <w:lang w:val="en-US"/>
        </w:rPr>
        <w:t xml:space="preserve">is valid should be the same as the validity period of the encryption/password </w:t>
      </w:r>
      <w:r w:rsidR="00310400" w:rsidRPr="003E3359">
        <w:rPr>
          <w:rFonts w:ascii="Arial" w:hAnsi="Arial" w:cs="Arial"/>
          <w:lang w:val="en-US"/>
        </w:rPr>
        <w:t>defined in the zipped folders.</w:t>
      </w:r>
    </w:p>
    <w:p w14:paraId="1287CBDC" w14:textId="77777777" w:rsidR="00BD75C3" w:rsidRPr="00BD75C3" w:rsidRDefault="00BD75C3" w:rsidP="00BD75C3">
      <w:pPr>
        <w:numPr>
          <w:ilvl w:val="0"/>
          <w:numId w:val="1"/>
        </w:numPr>
        <w:pBdr>
          <w:top w:val="nil"/>
          <w:left w:val="nil"/>
          <w:bottom w:val="nil"/>
          <w:right w:val="nil"/>
          <w:between w:val="nil"/>
        </w:pBdr>
        <w:tabs>
          <w:tab w:val="num" w:pos="720"/>
        </w:tabs>
        <w:spacing w:before="160"/>
        <w:ind w:left="450"/>
        <w:rPr>
          <w:rFonts w:ascii="Arial" w:hAnsi="Arial" w:cs="Arial"/>
          <w:lang w:val="en-US"/>
        </w:rPr>
      </w:pPr>
      <w:r w:rsidRPr="00BD75C3">
        <w:rPr>
          <w:rFonts w:ascii="Arial" w:hAnsi="Arial" w:cs="Arial"/>
          <w:lang w:val="en-US"/>
        </w:rPr>
        <w:t>The zipped folder should be transferred in two separate emails:</w:t>
      </w:r>
    </w:p>
    <w:p w14:paraId="7EA468D2" w14:textId="51011F23" w:rsidR="00BD75C3" w:rsidRPr="00BD75C3" w:rsidRDefault="00BD75C3" w:rsidP="000E4966">
      <w:pPr>
        <w:pStyle w:val="ListParagraph"/>
        <w:numPr>
          <w:ilvl w:val="0"/>
          <w:numId w:val="5"/>
        </w:numPr>
        <w:pBdr>
          <w:top w:val="nil"/>
          <w:left w:val="nil"/>
          <w:bottom w:val="nil"/>
          <w:right w:val="nil"/>
          <w:between w:val="nil"/>
        </w:pBdr>
        <w:spacing w:before="80" w:after="80"/>
        <w:ind w:left="1166"/>
        <w:contextualSpacing w:val="0"/>
        <w:rPr>
          <w:rFonts w:ascii="Arial" w:hAnsi="Arial" w:cs="Arial"/>
          <w:lang w:val="en-US"/>
        </w:rPr>
      </w:pPr>
      <w:r w:rsidRPr="00BD75C3">
        <w:rPr>
          <w:rFonts w:ascii="Arial" w:hAnsi="Arial" w:cs="Arial"/>
          <w:lang w:val="en-US"/>
        </w:rPr>
        <w:t xml:space="preserve">In the first e-mail, there should be a short description of the </w:t>
      </w:r>
      <w:r w:rsidR="00E2590F">
        <w:rPr>
          <w:rFonts w:ascii="Arial" w:hAnsi="Arial" w:cs="Arial"/>
          <w:lang w:val="en-US"/>
        </w:rPr>
        <w:t>allegation</w:t>
      </w:r>
      <w:r w:rsidRPr="00BD75C3">
        <w:rPr>
          <w:rFonts w:ascii="Arial" w:hAnsi="Arial" w:cs="Arial"/>
          <w:lang w:val="en-US"/>
        </w:rPr>
        <w:t xml:space="preserve"> and situation (without any identifiable information</w:t>
      </w:r>
      <w:r w:rsidR="00D156EC">
        <w:rPr>
          <w:rFonts w:ascii="Arial" w:hAnsi="Arial" w:cs="Arial"/>
          <w:lang w:val="en-US"/>
        </w:rPr>
        <w:t xml:space="preserve"> of the </w:t>
      </w:r>
      <w:r w:rsidR="009F4E34">
        <w:rPr>
          <w:rFonts w:ascii="Arial" w:hAnsi="Arial" w:cs="Arial"/>
          <w:lang w:val="en-US"/>
        </w:rPr>
        <w:t>complainant</w:t>
      </w:r>
      <w:r w:rsidRPr="00BD75C3">
        <w:rPr>
          <w:rFonts w:ascii="Arial" w:hAnsi="Arial" w:cs="Arial"/>
          <w:lang w:val="en-US"/>
        </w:rPr>
        <w:t xml:space="preserve"> shared in the email body) outlining the purpose of the referral and including the attachment of the encrypted, zipped folder. Individuals copied in this email should be as limited as possible, including only the designated PSEA main and alternate FPs, and if needed a supervisor/manager of the FPs. </w:t>
      </w:r>
    </w:p>
    <w:p w14:paraId="27732AFE" w14:textId="70032F10" w:rsidR="006E3568" w:rsidRPr="007E1ABF" w:rsidRDefault="00411921" w:rsidP="000E4966">
      <w:pPr>
        <w:pStyle w:val="ListParagraph"/>
        <w:numPr>
          <w:ilvl w:val="0"/>
          <w:numId w:val="5"/>
        </w:numPr>
        <w:pBdr>
          <w:top w:val="nil"/>
          <w:left w:val="nil"/>
          <w:bottom w:val="nil"/>
          <w:right w:val="nil"/>
          <w:between w:val="nil"/>
        </w:pBdr>
        <w:spacing w:before="80" w:after="80"/>
        <w:ind w:left="1166"/>
        <w:contextualSpacing w:val="0"/>
        <w:rPr>
          <w:rFonts w:ascii="Arial" w:hAnsi="Arial" w:cs="Arial"/>
          <w:lang w:val="en-US"/>
        </w:rPr>
      </w:pPr>
      <w:r>
        <w:rPr>
          <w:rFonts w:ascii="Arial" w:hAnsi="Arial" w:cs="Arial"/>
          <w:lang w:val="en-US"/>
        </w:rPr>
        <w:lastRenderedPageBreak/>
        <w:t>T</w:t>
      </w:r>
      <w:r w:rsidR="006E3568" w:rsidRPr="007E1ABF">
        <w:rPr>
          <w:rFonts w:ascii="Arial" w:hAnsi="Arial" w:cs="Arial"/>
          <w:lang w:val="en-GB"/>
        </w:rPr>
        <w:t xml:space="preserve">he password </w:t>
      </w:r>
      <w:r>
        <w:rPr>
          <w:rFonts w:ascii="Arial" w:hAnsi="Arial" w:cs="Arial"/>
          <w:lang w:val="en-GB"/>
        </w:rPr>
        <w:t xml:space="preserve">to access the zipped folder </w:t>
      </w:r>
      <w:r w:rsidR="006E3568" w:rsidRPr="007E1ABF">
        <w:rPr>
          <w:rFonts w:ascii="Arial" w:hAnsi="Arial" w:cs="Arial"/>
          <w:lang w:val="en-GB"/>
        </w:rPr>
        <w:t xml:space="preserve">should be shared separately with the focal person of the receiving agency in an encrypted and time-bound manner. To accomplish this, the referring agency should visit the </w:t>
      </w:r>
      <w:hyperlink r:id="rId17" w:anchor="private-note-help" w:history="1">
        <w:r w:rsidR="005302D6" w:rsidRPr="007E1ABF">
          <w:rPr>
            <w:rStyle w:val="Hyperlink"/>
            <w:rFonts w:ascii="Arial" w:hAnsi="Arial" w:cs="Arial"/>
            <w:b/>
            <w:bCs/>
            <w:lang w:val="en-GB"/>
          </w:rPr>
          <w:t>website</w:t>
        </w:r>
      </w:hyperlink>
      <w:r w:rsidR="006E3568" w:rsidRPr="007E1ABF">
        <w:rPr>
          <w:rFonts w:ascii="Arial" w:hAnsi="Arial" w:cs="Arial"/>
          <w:lang w:val="en-GB"/>
        </w:rPr>
        <w:t xml:space="preserve"> and follow these instructions</w:t>
      </w:r>
      <w:r w:rsidR="00C50953">
        <w:rPr>
          <w:rFonts w:ascii="Arial" w:hAnsi="Arial" w:cs="Arial"/>
          <w:lang w:val="en-GB"/>
        </w:rPr>
        <w:t>:</w:t>
      </w:r>
      <w:r w:rsidR="006E3568" w:rsidRPr="007E1ABF">
        <w:rPr>
          <w:rFonts w:ascii="Arial" w:hAnsi="Arial" w:cs="Arial"/>
          <w:lang w:val="en-GB"/>
        </w:rPr>
        <w:t xml:space="preserve"> enter your password in the designated text field, encrypt it, and set an expiry date. Once done, you will receive a link which you </w:t>
      </w:r>
      <w:r w:rsidR="00C50953">
        <w:rPr>
          <w:rFonts w:ascii="Arial" w:hAnsi="Arial" w:cs="Arial"/>
          <w:lang w:val="en-GB"/>
        </w:rPr>
        <w:t>send only to the designated PSEA main and alternate FPs</w:t>
      </w:r>
      <w:r>
        <w:rPr>
          <w:rFonts w:ascii="Arial" w:hAnsi="Arial" w:cs="Arial"/>
          <w:lang w:val="en-GB"/>
        </w:rPr>
        <w:t xml:space="preserve"> via a second email</w:t>
      </w:r>
      <w:r w:rsidR="006E3568" w:rsidRPr="007E1ABF">
        <w:rPr>
          <w:rFonts w:ascii="Arial" w:hAnsi="Arial" w:cs="Arial"/>
          <w:lang w:val="en-GB"/>
        </w:rPr>
        <w:t>. Additionally, you can choose to enable the self-destruct feature by ticking the corresponding checkbox. This will ensure that the note disappears after being read by the recipient.</w:t>
      </w:r>
    </w:p>
    <w:p w14:paraId="04563F72" w14:textId="57CC101E" w:rsidR="00BD75C3" w:rsidRPr="00BD75C3" w:rsidRDefault="007E1ABF" w:rsidP="000E4966">
      <w:pPr>
        <w:pStyle w:val="ListParagraph"/>
        <w:numPr>
          <w:ilvl w:val="0"/>
          <w:numId w:val="5"/>
        </w:numPr>
        <w:pBdr>
          <w:top w:val="nil"/>
          <w:left w:val="nil"/>
          <w:bottom w:val="nil"/>
          <w:right w:val="nil"/>
          <w:between w:val="nil"/>
        </w:pBdr>
        <w:spacing w:before="80" w:after="80"/>
        <w:ind w:left="1166"/>
        <w:contextualSpacing w:val="0"/>
        <w:rPr>
          <w:rFonts w:ascii="Arial" w:hAnsi="Arial" w:cs="Arial"/>
          <w:lang w:val="en-US"/>
        </w:rPr>
      </w:pPr>
      <w:r w:rsidRPr="007E1ABF">
        <w:rPr>
          <w:rFonts w:ascii="Arial" w:hAnsi="Arial" w:cs="Arial"/>
          <w:b/>
          <w:bCs/>
          <w:lang w:val="en-US"/>
        </w:rPr>
        <w:t>Important Note:</w:t>
      </w:r>
      <w:r>
        <w:rPr>
          <w:rFonts w:ascii="Arial" w:hAnsi="Arial" w:cs="Arial"/>
          <w:lang w:val="en-US"/>
        </w:rPr>
        <w:t xml:space="preserve"> </w:t>
      </w:r>
      <w:r w:rsidR="00A12D78">
        <w:rPr>
          <w:rFonts w:ascii="Arial" w:hAnsi="Arial" w:cs="Arial"/>
          <w:lang w:val="en-US"/>
        </w:rPr>
        <w:t xml:space="preserve">The validity period of the informed consent received from the relevant person regarding the referral will be the same as the validity period of the encryption/password defined in the zipped folder. If the password is not used until the specified date, </w:t>
      </w:r>
      <w:r w:rsidR="00A91B9D">
        <w:rPr>
          <w:rFonts w:ascii="Arial" w:hAnsi="Arial" w:cs="Arial"/>
          <w:lang w:val="en-US"/>
        </w:rPr>
        <w:t xml:space="preserve">you will not be able to access the folder and in this case, the </w:t>
      </w:r>
      <w:r w:rsidR="000A6C1E">
        <w:rPr>
          <w:rFonts w:ascii="Arial" w:hAnsi="Arial" w:cs="Arial"/>
          <w:lang w:val="en-US"/>
        </w:rPr>
        <w:t>data</w:t>
      </w:r>
      <w:r w:rsidR="00A91B9D">
        <w:rPr>
          <w:rFonts w:ascii="Arial" w:hAnsi="Arial" w:cs="Arial"/>
          <w:lang w:val="en-US"/>
        </w:rPr>
        <w:t xml:space="preserve"> in the shared documents as well. </w:t>
      </w:r>
      <w:r w:rsidR="00164E77">
        <w:rPr>
          <w:rFonts w:ascii="Arial" w:hAnsi="Arial" w:cs="Arial"/>
          <w:lang w:val="en-US"/>
        </w:rPr>
        <w:t xml:space="preserve">To be able to refer the </w:t>
      </w:r>
      <w:r w:rsidR="00E2590F">
        <w:rPr>
          <w:rFonts w:ascii="Arial" w:hAnsi="Arial" w:cs="Arial"/>
          <w:lang w:val="en-US"/>
        </w:rPr>
        <w:t>allegation</w:t>
      </w:r>
      <w:r w:rsidR="00164E77">
        <w:rPr>
          <w:rFonts w:ascii="Arial" w:hAnsi="Arial" w:cs="Arial"/>
          <w:lang w:val="en-US"/>
        </w:rPr>
        <w:t>, y</w:t>
      </w:r>
      <w:r w:rsidR="009E2E22">
        <w:rPr>
          <w:rFonts w:ascii="Arial" w:hAnsi="Arial" w:cs="Arial"/>
          <w:lang w:val="en-US"/>
        </w:rPr>
        <w:t xml:space="preserve">ou will then have to obtain informed consent </w:t>
      </w:r>
      <w:r w:rsidR="00164E77">
        <w:rPr>
          <w:rFonts w:ascii="Arial" w:hAnsi="Arial" w:cs="Arial"/>
          <w:lang w:val="en-US"/>
        </w:rPr>
        <w:t xml:space="preserve">(with a new validity period) </w:t>
      </w:r>
      <w:r w:rsidR="009E2E22">
        <w:rPr>
          <w:rFonts w:ascii="Arial" w:hAnsi="Arial" w:cs="Arial"/>
          <w:lang w:val="en-US"/>
        </w:rPr>
        <w:t xml:space="preserve">from the </w:t>
      </w:r>
      <w:r w:rsidR="00547473">
        <w:rPr>
          <w:rFonts w:ascii="Arial" w:hAnsi="Arial" w:cs="Arial"/>
          <w:lang w:val="en-US"/>
        </w:rPr>
        <w:t xml:space="preserve">complainant </w:t>
      </w:r>
      <w:r w:rsidR="009E2E22">
        <w:rPr>
          <w:rFonts w:ascii="Arial" w:hAnsi="Arial" w:cs="Arial"/>
          <w:lang w:val="en-US"/>
        </w:rPr>
        <w:t>once again</w:t>
      </w:r>
      <w:r w:rsidR="00164E77">
        <w:rPr>
          <w:rFonts w:ascii="Arial" w:hAnsi="Arial" w:cs="Arial"/>
          <w:lang w:val="en-US"/>
        </w:rPr>
        <w:t xml:space="preserve">. </w:t>
      </w:r>
    </w:p>
    <w:p w14:paraId="7BCCB554" w14:textId="489F0FCC" w:rsidR="00BD75C3" w:rsidRPr="00BD75C3" w:rsidRDefault="00BD75C3" w:rsidP="00BD75C3">
      <w:pPr>
        <w:numPr>
          <w:ilvl w:val="0"/>
          <w:numId w:val="1"/>
        </w:numPr>
        <w:pBdr>
          <w:top w:val="nil"/>
          <w:left w:val="nil"/>
          <w:bottom w:val="nil"/>
          <w:right w:val="nil"/>
          <w:between w:val="nil"/>
        </w:pBdr>
        <w:tabs>
          <w:tab w:val="num" w:pos="720"/>
        </w:tabs>
        <w:spacing w:before="160"/>
        <w:ind w:left="450"/>
        <w:rPr>
          <w:rFonts w:ascii="Arial" w:hAnsi="Arial" w:cs="Arial"/>
          <w:lang w:val="en-US"/>
        </w:rPr>
      </w:pPr>
      <w:r w:rsidRPr="00BD75C3">
        <w:rPr>
          <w:rFonts w:ascii="Arial" w:hAnsi="Arial" w:cs="Arial"/>
          <w:lang w:val="en-US"/>
        </w:rPr>
        <w:t xml:space="preserve">If you lose or forget the password it cannot be recovered </w:t>
      </w:r>
      <w:r w:rsidR="00D35DEF">
        <w:rPr>
          <w:rFonts w:ascii="Arial" w:hAnsi="Arial" w:cs="Arial"/>
          <w:lang w:val="en-US"/>
        </w:rPr>
        <w:t xml:space="preserve">(without having to ask the referring agency again) </w:t>
      </w:r>
      <w:r w:rsidRPr="00BD75C3">
        <w:rPr>
          <w:rFonts w:ascii="Arial" w:hAnsi="Arial" w:cs="Arial"/>
          <w:lang w:val="en-US"/>
        </w:rPr>
        <w:t xml:space="preserve">and you will lose access to the document! It is advised to keep a list of passwords and their corresponding document names in a safe place. </w:t>
      </w:r>
    </w:p>
    <w:p w14:paraId="77554B34" w14:textId="29260E86" w:rsidR="00BD75C3" w:rsidRPr="00BD75C3" w:rsidRDefault="00BD75C3" w:rsidP="00BD75C3">
      <w:pPr>
        <w:numPr>
          <w:ilvl w:val="0"/>
          <w:numId w:val="1"/>
        </w:numPr>
        <w:pBdr>
          <w:top w:val="nil"/>
          <w:left w:val="nil"/>
          <w:bottom w:val="nil"/>
          <w:right w:val="nil"/>
          <w:between w:val="nil"/>
        </w:pBdr>
        <w:tabs>
          <w:tab w:val="num" w:pos="720"/>
        </w:tabs>
        <w:spacing w:before="160"/>
        <w:ind w:left="450"/>
        <w:rPr>
          <w:rFonts w:ascii="Arial" w:hAnsi="Arial" w:cs="Arial"/>
          <w:lang w:val="en-US"/>
        </w:rPr>
      </w:pPr>
      <w:r w:rsidRPr="00BD75C3">
        <w:rPr>
          <w:rFonts w:ascii="Arial" w:hAnsi="Arial" w:cs="Arial"/>
          <w:lang w:val="en-US"/>
        </w:rPr>
        <w:t>Email headers should not include any personal, identifiable and sensitive information about the individual being referred.</w:t>
      </w:r>
    </w:p>
    <w:p w14:paraId="6A1A9B8C" w14:textId="77777777" w:rsidR="00E26A4C" w:rsidRPr="006E62CC" w:rsidRDefault="00E26A4C" w:rsidP="004A5A42">
      <w:pPr>
        <w:pBdr>
          <w:top w:val="nil"/>
          <w:left w:val="nil"/>
          <w:bottom w:val="nil"/>
          <w:right w:val="nil"/>
          <w:between w:val="nil"/>
        </w:pBdr>
        <w:spacing w:before="160"/>
        <w:ind w:left="90"/>
        <w:rPr>
          <w:rStyle w:val="normaltextrun"/>
          <w:rFonts w:ascii="Arial" w:hAnsi="Arial" w:cs="Arial"/>
          <w:b/>
          <w:bCs/>
          <w:lang w:val="en-GB"/>
        </w:rPr>
      </w:pPr>
      <w:r w:rsidRPr="006E62CC">
        <w:rPr>
          <w:rStyle w:val="normaltextrun"/>
          <w:rFonts w:ascii="Arial" w:hAnsi="Arial" w:cs="Arial"/>
          <w:b/>
          <w:bCs/>
          <w:lang w:val="en-GB"/>
        </w:rPr>
        <w:t>Exceptions to Confidentiality in Fulfilling Legal Liabilities and Mandatory Reporting</w:t>
      </w:r>
    </w:p>
    <w:p w14:paraId="79178839" w14:textId="5AC0084D" w:rsidR="00E26A4C" w:rsidRPr="006E62CC" w:rsidRDefault="00E26A4C" w:rsidP="00591DE9">
      <w:pPr>
        <w:numPr>
          <w:ilvl w:val="0"/>
          <w:numId w:val="1"/>
        </w:numPr>
        <w:pBdr>
          <w:top w:val="nil"/>
          <w:left w:val="nil"/>
          <w:bottom w:val="nil"/>
          <w:right w:val="nil"/>
          <w:between w:val="nil"/>
        </w:pBdr>
        <w:tabs>
          <w:tab w:val="num" w:pos="720"/>
        </w:tabs>
        <w:spacing w:before="160"/>
        <w:ind w:left="450"/>
        <w:rPr>
          <w:rFonts w:ascii="Arial" w:hAnsi="Arial" w:cs="Arial"/>
        </w:rPr>
      </w:pPr>
      <w:r w:rsidRPr="006E62CC">
        <w:rPr>
          <w:rStyle w:val="normaltextrun"/>
          <w:rFonts w:ascii="Arial" w:hAnsi="Arial" w:cs="Arial"/>
          <w:lang w:val="en-GB"/>
        </w:rPr>
        <w:t>Confidentiality and informed consent should always be given priority. However, limits to these can occur under exceptional circumstances determined in Turkish Law, indicated below:</w:t>
      </w:r>
      <w:r w:rsidRPr="006E62CC">
        <w:rPr>
          <w:rStyle w:val="eop"/>
          <w:rFonts w:ascii="Arial" w:hAnsi="Arial" w:cs="Arial"/>
        </w:rPr>
        <w:t> </w:t>
      </w:r>
    </w:p>
    <w:p w14:paraId="16D1FDDA" w14:textId="696F8A71" w:rsidR="00E26A4C" w:rsidRPr="006E62CC" w:rsidRDefault="00E26A4C" w:rsidP="000E4966">
      <w:pPr>
        <w:pStyle w:val="ListParagraph"/>
        <w:numPr>
          <w:ilvl w:val="0"/>
          <w:numId w:val="11"/>
        </w:numPr>
        <w:pBdr>
          <w:top w:val="nil"/>
          <w:left w:val="nil"/>
          <w:bottom w:val="nil"/>
          <w:right w:val="nil"/>
          <w:between w:val="nil"/>
        </w:pBdr>
        <w:spacing w:before="80" w:after="80"/>
        <w:ind w:left="1166"/>
        <w:contextualSpacing w:val="0"/>
        <w:rPr>
          <w:rFonts w:ascii="Arial" w:hAnsi="Arial" w:cs="Arial"/>
          <w:lang w:val="en-US"/>
        </w:rPr>
      </w:pPr>
      <w:r w:rsidRPr="006E62CC">
        <w:rPr>
          <w:rFonts w:ascii="Arial" w:hAnsi="Arial" w:cs="Arial"/>
          <w:lang w:val="en-US"/>
        </w:rPr>
        <w:t xml:space="preserve">If the </w:t>
      </w:r>
      <w:r w:rsidR="00547473">
        <w:rPr>
          <w:rFonts w:ascii="Arial" w:hAnsi="Arial" w:cs="Arial"/>
          <w:lang w:val="en-US"/>
        </w:rPr>
        <w:t>complainant</w:t>
      </w:r>
      <w:r w:rsidR="00BB73A2">
        <w:rPr>
          <w:rFonts w:ascii="Arial" w:hAnsi="Arial" w:cs="Arial"/>
          <w:lang w:val="en-US"/>
        </w:rPr>
        <w:t xml:space="preserve"> is a </w:t>
      </w:r>
      <w:r w:rsidRPr="006E62CC">
        <w:rPr>
          <w:rFonts w:ascii="Arial" w:hAnsi="Arial" w:cs="Arial"/>
          <w:lang w:val="en-US"/>
        </w:rPr>
        <w:t>child, his or her health or safety is at risk or abuse is suspected, limits to confidentiality exist in order to protect the child when it is in the best interest of the child. Pursuant to Turkish legislation, government institutions, NGOs, and any third parties have an obligation to report any child in need of protection</w:t>
      </w:r>
      <w:r w:rsidR="00D50A54">
        <w:rPr>
          <w:rStyle w:val="FootnoteReference"/>
          <w:rFonts w:ascii="Arial" w:hAnsi="Arial" w:cs="Arial"/>
          <w:lang w:val="en-US"/>
        </w:rPr>
        <w:footnoteReference w:id="2"/>
      </w:r>
      <w:r w:rsidRPr="006E62CC">
        <w:rPr>
          <w:rFonts w:ascii="Arial" w:hAnsi="Arial" w:cs="Arial"/>
          <w:lang w:val="en-US"/>
        </w:rPr>
        <w:t>.</w:t>
      </w:r>
    </w:p>
    <w:p w14:paraId="11045383" w14:textId="4B6A2FC7" w:rsidR="00E26A4C" w:rsidRPr="006E62CC" w:rsidRDefault="00E26A4C" w:rsidP="000E4966">
      <w:pPr>
        <w:pStyle w:val="ListParagraph"/>
        <w:numPr>
          <w:ilvl w:val="0"/>
          <w:numId w:val="11"/>
        </w:numPr>
        <w:pBdr>
          <w:top w:val="nil"/>
          <w:left w:val="nil"/>
          <w:bottom w:val="nil"/>
          <w:right w:val="nil"/>
          <w:between w:val="nil"/>
        </w:pBdr>
        <w:spacing w:before="80" w:after="80"/>
        <w:ind w:left="1166"/>
        <w:contextualSpacing w:val="0"/>
        <w:rPr>
          <w:rFonts w:ascii="Arial" w:hAnsi="Arial" w:cs="Arial"/>
          <w:lang w:val="en-US"/>
        </w:rPr>
      </w:pPr>
      <w:r w:rsidRPr="006E62CC">
        <w:rPr>
          <w:rFonts w:ascii="Arial" w:hAnsi="Arial" w:cs="Arial"/>
          <w:lang w:val="en-US"/>
        </w:rPr>
        <w:t xml:space="preserve">If the </w:t>
      </w:r>
      <w:r w:rsidR="00547473">
        <w:rPr>
          <w:rFonts w:ascii="Arial" w:hAnsi="Arial" w:cs="Arial"/>
          <w:lang w:val="en-US"/>
        </w:rPr>
        <w:t>complainant</w:t>
      </w:r>
      <w:r w:rsidRPr="006E62CC">
        <w:rPr>
          <w:rFonts w:ascii="Arial" w:hAnsi="Arial" w:cs="Arial"/>
          <w:lang w:val="en-US"/>
        </w:rPr>
        <w:t xml:space="preserve"> is an adult who threatens his/her own life or who is directly threatening the safety of others, </w:t>
      </w:r>
      <w:r w:rsidR="00B412B1">
        <w:rPr>
          <w:rFonts w:ascii="Arial" w:hAnsi="Arial" w:cs="Arial"/>
          <w:lang w:val="en-US"/>
        </w:rPr>
        <w:t xml:space="preserve">they </w:t>
      </w:r>
      <w:r w:rsidRPr="006E62CC">
        <w:rPr>
          <w:rFonts w:ascii="Arial" w:hAnsi="Arial" w:cs="Arial"/>
          <w:lang w:val="en-US"/>
        </w:rPr>
        <w:t>must be referred to the security forces and other law enforcement offices, which will ensure the safety of his/ her / other’s life. In all cases, the potential harm caused by non-disclosure of the confidential information should be weighed against the potential harm caused by disclosure of the information. </w:t>
      </w:r>
    </w:p>
    <w:p w14:paraId="6FFE07E3" w14:textId="5FE624CD" w:rsidR="004445C0" w:rsidRPr="0050116C" w:rsidRDefault="00E26A4C" w:rsidP="000E4966">
      <w:pPr>
        <w:pStyle w:val="ListParagraph"/>
        <w:numPr>
          <w:ilvl w:val="0"/>
          <w:numId w:val="11"/>
        </w:numPr>
        <w:pBdr>
          <w:top w:val="nil"/>
          <w:left w:val="nil"/>
          <w:bottom w:val="nil"/>
          <w:right w:val="nil"/>
          <w:between w:val="nil"/>
        </w:pBdr>
        <w:spacing w:before="80" w:after="80"/>
        <w:ind w:left="1166"/>
        <w:contextualSpacing w:val="0"/>
        <w:rPr>
          <w:rFonts w:ascii="Arial" w:hAnsi="Arial" w:cs="Arial"/>
          <w:lang w:val="en-US"/>
        </w:rPr>
      </w:pPr>
      <w:r w:rsidRPr="006E62CC">
        <w:rPr>
          <w:rFonts w:ascii="Arial" w:hAnsi="Arial" w:cs="Arial"/>
          <w:lang w:val="en-US"/>
        </w:rPr>
        <w:lastRenderedPageBreak/>
        <w:t>According to Articles 278, 279, 280 of the Turkish Criminal Code; persons, including government officials and health workers, have an obligation to report crimes. If the service provider detects a crime</w:t>
      </w:r>
      <w:r w:rsidR="009268FD">
        <w:rPr>
          <w:rFonts w:ascii="Arial" w:hAnsi="Arial" w:cs="Arial"/>
          <w:lang w:val="en-US"/>
        </w:rPr>
        <w:t xml:space="preserve"> that is being committed or has been committed but whose consequences are possible to limit</w:t>
      </w:r>
      <w:r w:rsidRPr="006E62CC">
        <w:rPr>
          <w:rFonts w:ascii="Arial" w:hAnsi="Arial" w:cs="Arial"/>
          <w:lang w:val="en-US"/>
        </w:rPr>
        <w:t xml:space="preserve">, </w:t>
      </w:r>
      <w:r w:rsidR="009268FD">
        <w:rPr>
          <w:rFonts w:ascii="Arial" w:hAnsi="Arial" w:cs="Arial"/>
          <w:lang w:val="en-US"/>
        </w:rPr>
        <w:t xml:space="preserve">the </w:t>
      </w:r>
      <w:r w:rsidRPr="006E62CC">
        <w:rPr>
          <w:rFonts w:ascii="Arial" w:hAnsi="Arial" w:cs="Arial"/>
          <w:lang w:val="en-US"/>
        </w:rPr>
        <w:t xml:space="preserve">principle of confidentiality would not apply. In that case, the service provider must inform the </w:t>
      </w:r>
      <w:r w:rsidR="00A03E8B">
        <w:rPr>
          <w:rFonts w:ascii="Arial" w:hAnsi="Arial" w:cs="Arial"/>
          <w:lang w:val="en-US"/>
        </w:rPr>
        <w:t>complainant</w:t>
      </w:r>
      <w:r w:rsidRPr="006E62CC">
        <w:rPr>
          <w:rFonts w:ascii="Arial" w:hAnsi="Arial" w:cs="Arial"/>
          <w:lang w:val="en-US"/>
        </w:rPr>
        <w:t xml:space="preserve"> of the mandatory reporting requirement and ask the</w:t>
      </w:r>
      <w:r w:rsidR="005444FF">
        <w:rPr>
          <w:rFonts w:ascii="Arial" w:hAnsi="Arial" w:cs="Arial"/>
          <w:lang w:val="en-US"/>
        </w:rPr>
        <w:t>m</w:t>
      </w:r>
      <w:r w:rsidRPr="006E62CC">
        <w:rPr>
          <w:rFonts w:ascii="Arial" w:hAnsi="Arial" w:cs="Arial"/>
          <w:lang w:val="en-US"/>
        </w:rPr>
        <w:t xml:space="preserve"> if he/she wishes to provide information about the </w:t>
      </w:r>
      <w:r w:rsidR="005444FF">
        <w:rPr>
          <w:rFonts w:ascii="Arial" w:hAnsi="Arial" w:cs="Arial"/>
          <w:lang w:val="en-US"/>
        </w:rPr>
        <w:t xml:space="preserve">alleged </w:t>
      </w:r>
      <w:r w:rsidRPr="006E62CC">
        <w:rPr>
          <w:rFonts w:ascii="Arial" w:hAnsi="Arial" w:cs="Arial"/>
          <w:lang w:val="en-US"/>
        </w:rPr>
        <w:t>perpetrator or even continue with the case management and assistance by service providers.</w:t>
      </w:r>
    </w:p>
    <w:p w14:paraId="6FC13562" w14:textId="08F82856" w:rsidR="00DE2D52" w:rsidRPr="002100AC" w:rsidRDefault="00440EE1" w:rsidP="00E26A4C">
      <w:pPr>
        <w:numPr>
          <w:ilvl w:val="0"/>
          <w:numId w:val="1"/>
        </w:numPr>
        <w:pBdr>
          <w:top w:val="nil"/>
          <w:left w:val="nil"/>
          <w:bottom w:val="nil"/>
          <w:right w:val="nil"/>
          <w:between w:val="nil"/>
        </w:pBdr>
        <w:tabs>
          <w:tab w:val="num" w:pos="720"/>
        </w:tabs>
        <w:spacing w:before="160"/>
        <w:ind w:left="450"/>
        <w:rPr>
          <w:rFonts w:ascii="Arial" w:hAnsi="Arial" w:cs="Arial"/>
          <w:b/>
          <w:bCs/>
          <w:lang w:val="en-US"/>
        </w:rPr>
      </w:pPr>
      <w:r>
        <w:rPr>
          <w:rFonts w:ascii="Arial" w:hAnsi="Arial" w:cs="Arial"/>
          <w:b/>
          <w:bCs/>
          <w:lang w:val="en-US"/>
        </w:rPr>
        <w:t>S</w:t>
      </w:r>
      <w:r w:rsidR="00591DE9" w:rsidRPr="002100AC">
        <w:rPr>
          <w:rFonts w:ascii="Arial" w:hAnsi="Arial" w:cs="Arial"/>
          <w:b/>
          <w:bCs/>
          <w:lang w:val="en-US"/>
        </w:rPr>
        <w:t xml:space="preserve">hould you confirm that the </w:t>
      </w:r>
      <w:r w:rsidR="009B1B9C">
        <w:rPr>
          <w:rFonts w:ascii="Arial" w:hAnsi="Arial" w:cs="Arial"/>
          <w:b/>
          <w:bCs/>
          <w:lang w:val="en-US"/>
        </w:rPr>
        <w:t>allegation</w:t>
      </w:r>
      <w:r w:rsidR="00591DE9" w:rsidRPr="002100AC">
        <w:rPr>
          <w:rFonts w:ascii="Arial" w:hAnsi="Arial" w:cs="Arial"/>
          <w:b/>
          <w:bCs/>
          <w:lang w:val="en-US"/>
        </w:rPr>
        <w:t xml:space="preserve"> at hand falls under mandatory reporting to authorities, </w:t>
      </w:r>
      <w:r w:rsidR="00DE2D52" w:rsidRPr="002100AC">
        <w:rPr>
          <w:rFonts w:ascii="Arial" w:hAnsi="Arial" w:cs="Arial"/>
          <w:b/>
          <w:bCs/>
          <w:lang w:val="en-US"/>
        </w:rPr>
        <w:t xml:space="preserve">pursuant to Turkish legislation, </w:t>
      </w:r>
      <w:r w:rsidR="00A03E8B">
        <w:rPr>
          <w:rFonts w:ascii="Arial" w:hAnsi="Arial" w:cs="Arial"/>
          <w:b/>
          <w:bCs/>
          <w:lang w:val="en-US"/>
        </w:rPr>
        <w:t>complainants</w:t>
      </w:r>
      <w:r w:rsidR="00292148">
        <w:rPr>
          <w:rFonts w:ascii="Arial" w:hAnsi="Arial" w:cs="Arial"/>
          <w:b/>
          <w:bCs/>
          <w:lang w:val="en-US"/>
        </w:rPr>
        <w:t xml:space="preserve"> </w:t>
      </w:r>
      <w:r w:rsidR="00DE2D52" w:rsidRPr="002100AC">
        <w:rPr>
          <w:rFonts w:ascii="Arial" w:hAnsi="Arial" w:cs="Arial"/>
          <w:b/>
          <w:bCs/>
          <w:lang w:val="en-US"/>
        </w:rPr>
        <w:t xml:space="preserve">or third parties can report an </w:t>
      </w:r>
      <w:r w:rsidR="009B1B9C">
        <w:rPr>
          <w:rFonts w:ascii="Arial" w:hAnsi="Arial" w:cs="Arial"/>
          <w:b/>
          <w:bCs/>
          <w:lang w:val="en-US"/>
        </w:rPr>
        <w:t>allegation</w:t>
      </w:r>
      <w:r w:rsidR="00DE2D52" w:rsidRPr="002100AC">
        <w:rPr>
          <w:rFonts w:ascii="Arial" w:hAnsi="Arial" w:cs="Arial"/>
          <w:b/>
          <w:bCs/>
          <w:lang w:val="en-US"/>
        </w:rPr>
        <w:t xml:space="preserve"> to the be</w:t>
      </w:r>
      <w:r w:rsidR="002100AC" w:rsidRPr="002100AC">
        <w:rPr>
          <w:rFonts w:ascii="Arial" w:hAnsi="Arial" w:cs="Arial"/>
          <w:b/>
          <w:bCs/>
          <w:lang w:val="en-US"/>
        </w:rPr>
        <w:t>l</w:t>
      </w:r>
      <w:r w:rsidR="00DE2D52" w:rsidRPr="002100AC">
        <w:rPr>
          <w:rFonts w:ascii="Arial" w:hAnsi="Arial" w:cs="Arial"/>
          <w:b/>
          <w:bCs/>
          <w:lang w:val="en-US"/>
        </w:rPr>
        <w:t xml:space="preserve">ow authorities: </w:t>
      </w:r>
    </w:p>
    <w:p w14:paraId="0086233E" w14:textId="669FDBA8" w:rsidR="001E73AC" w:rsidRDefault="001E73AC" w:rsidP="001E73AC">
      <w:pPr>
        <w:pStyle w:val="ListParagraph"/>
        <w:numPr>
          <w:ilvl w:val="0"/>
          <w:numId w:val="12"/>
        </w:numPr>
        <w:pBdr>
          <w:top w:val="nil"/>
          <w:left w:val="nil"/>
          <w:bottom w:val="nil"/>
          <w:right w:val="nil"/>
          <w:between w:val="nil"/>
        </w:pBdr>
        <w:spacing w:before="160"/>
        <w:rPr>
          <w:rFonts w:ascii="Arial" w:hAnsi="Arial" w:cs="Arial"/>
          <w:lang w:val="en-US"/>
        </w:rPr>
      </w:pPr>
      <w:r>
        <w:rPr>
          <w:rFonts w:ascii="Arial" w:hAnsi="Arial" w:cs="Arial"/>
          <w:lang w:val="en-US"/>
        </w:rPr>
        <w:t xml:space="preserve">Law Enforcement: including police, provincial or district Directorates of Security, </w:t>
      </w:r>
      <w:r w:rsidR="00004F6B">
        <w:rPr>
          <w:rFonts w:ascii="Arial" w:hAnsi="Arial" w:cs="Arial"/>
          <w:lang w:val="en-US"/>
        </w:rPr>
        <w:t>Gendarmerie</w:t>
      </w:r>
      <w:r>
        <w:rPr>
          <w:rFonts w:ascii="Arial" w:hAnsi="Arial" w:cs="Arial"/>
          <w:lang w:val="en-US"/>
        </w:rPr>
        <w:t xml:space="preserve"> and Coast Guard</w:t>
      </w:r>
    </w:p>
    <w:p w14:paraId="013C618F" w14:textId="6A879432" w:rsidR="001E73AC" w:rsidRDefault="001E73AC" w:rsidP="001E73AC">
      <w:pPr>
        <w:pStyle w:val="ListParagraph"/>
        <w:numPr>
          <w:ilvl w:val="0"/>
          <w:numId w:val="12"/>
        </w:numPr>
        <w:pBdr>
          <w:top w:val="nil"/>
          <w:left w:val="nil"/>
          <w:bottom w:val="nil"/>
          <w:right w:val="nil"/>
          <w:between w:val="nil"/>
        </w:pBdr>
        <w:spacing w:before="160"/>
        <w:rPr>
          <w:rFonts w:ascii="Arial" w:hAnsi="Arial" w:cs="Arial"/>
          <w:lang w:val="en-US"/>
        </w:rPr>
      </w:pPr>
      <w:r>
        <w:rPr>
          <w:rFonts w:ascii="Arial" w:hAnsi="Arial" w:cs="Arial"/>
          <w:lang w:val="en-US"/>
        </w:rPr>
        <w:t>Ministry of Family and Social Services: including Provincial Directorates of Family and Social Services</w:t>
      </w:r>
      <w:r w:rsidR="00DE2D52">
        <w:rPr>
          <w:rFonts w:ascii="Arial" w:hAnsi="Arial" w:cs="Arial"/>
          <w:lang w:val="en-US"/>
        </w:rPr>
        <w:t xml:space="preserve"> and Violence </w:t>
      </w:r>
      <w:r w:rsidR="0050116C">
        <w:rPr>
          <w:rFonts w:ascii="Arial" w:hAnsi="Arial" w:cs="Arial"/>
          <w:lang w:val="en-US"/>
        </w:rPr>
        <w:t>Prevention and Monitoring Centers (</w:t>
      </w:r>
      <w:r w:rsidR="0050116C">
        <w:rPr>
          <w:rFonts w:ascii="Arial" w:hAnsi="Arial" w:cs="Arial"/>
        </w:rPr>
        <w:t>ŞÖNİM)</w:t>
      </w:r>
      <w:r>
        <w:rPr>
          <w:rFonts w:ascii="Arial" w:hAnsi="Arial" w:cs="Arial"/>
          <w:lang w:val="en-US"/>
        </w:rPr>
        <w:t xml:space="preserve"> </w:t>
      </w:r>
    </w:p>
    <w:p w14:paraId="2CD9E291" w14:textId="742DCA3B" w:rsidR="001E73AC" w:rsidRDefault="001E73AC" w:rsidP="001E73AC">
      <w:pPr>
        <w:pStyle w:val="ListParagraph"/>
        <w:numPr>
          <w:ilvl w:val="0"/>
          <w:numId w:val="12"/>
        </w:numPr>
        <w:pBdr>
          <w:top w:val="nil"/>
          <w:left w:val="nil"/>
          <w:bottom w:val="nil"/>
          <w:right w:val="nil"/>
          <w:between w:val="nil"/>
        </w:pBdr>
        <w:spacing w:before="160"/>
        <w:rPr>
          <w:rFonts w:ascii="Arial" w:hAnsi="Arial" w:cs="Arial"/>
          <w:lang w:val="en-US"/>
        </w:rPr>
      </w:pPr>
      <w:r>
        <w:rPr>
          <w:rFonts w:ascii="Arial" w:hAnsi="Arial" w:cs="Arial"/>
          <w:lang w:val="en-US"/>
        </w:rPr>
        <w:t>Courts and Public Prosecutors’ Offices</w:t>
      </w:r>
    </w:p>
    <w:p w14:paraId="05441D92" w14:textId="14D581F3" w:rsidR="001E73AC" w:rsidRDefault="001E73AC" w:rsidP="001E73AC">
      <w:pPr>
        <w:pStyle w:val="ListParagraph"/>
        <w:numPr>
          <w:ilvl w:val="0"/>
          <w:numId w:val="12"/>
        </w:numPr>
        <w:pBdr>
          <w:top w:val="nil"/>
          <w:left w:val="nil"/>
          <w:bottom w:val="nil"/>
          <w:right w:val="nil"/>
          <w:between w:val="nil"/>
        </w:pBdr>
        <w:spacing w:before="160"/>
        <w:rPr>
          <w:rFonts w:ascii="Arial" w:hAnsi="Arial" w:cs="Arial"/>
          <w:lang w:val="en-US"/>
        </w:rPr>
      </w:pPr>
      <w:r>
        <w:rPr>
          <w:rFonts w:ascii="Arial" w:hAnsi="Arial" w:cs="Arial"/>
          <w:lang w:val="en-US"/>
        </w:rPr>
        <w:t>Hospitals</w:t>
      </w:r>
    </w:p>
    <w:p w14:paraId="5C783465" w14:textId="38E80B67" w:rsidR="0050116C" w:rsidRPr="002100AC" w:rsidRDefault="009B1B9C" w:rsidP="0050116C">
      <w:pPr>
        <w:numPr>
          <w:ilvl w:val="0"/>
          <w:numId w:val="1"/>
        </w:numPr>
        <w:pBdr>
          <w:top w:val="nil"/>
          <w:left w:val="nil"/>
          <w:bottom w:val="nil"/>
          <w:right w:val="nil"/>
          <w:between w:val="nil"/>
        </w:pBdr>
        <w:tabs>
          <w:tab w:val="num" w:pos="720"/>
        </w:tabs>
        <w:spacing w:before="160"/>
        <w:ind w:left="450"/>
        <w:rPr>
          <w:rFonts w:ascii="Arial" w:hAnsi="Arial" w:cs="Arial"/>
          <w:b/>
          <w:bCs/>
          <w:lang w:val="en-US"/>
        </w:rPr>
      </w:pPr>
      <w:r>
        <w:rPr>
          <w:rFonts w:ascii="Arial" w:hAnsi="Arial" w:cs="Arial"/>
          <w:b/>
          <w:bCs/>
          <w:lang w:val="en-US"/>
        </w:rPr>
        <w:t>Allegations</w:t>
      </w:r>
      <w:r w:rsidR="0050116C" w:rsidRPr="002100AC">
        <w:rPr>
          <w:rFonts w:ascii="Arial" w:hAnsi="Arial" w:cs="Arial"/>
          <w:b/>
          <w:bCs/>
          <w:lang w:val="en-US"/>
        </w:rPr>
        <w:t xml:space="preserve"> can also be reported through the below hotlines and phone applications:</w:t>
      </w:r>
    </w:p>
    <w:p w14:paraId="67646FAE" w14:textId="48FE8563" w:rsidR="0050116C" w:rsidRDefault="00E85E94" w:rsidP="0050116C">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General Emergency Hotline 112</w:t>
      </w:r>
    </w:p>
    <w:p w14:paraId="646E5E0B" w14:textId="00A312AA" w:rsidR="00E85E94" w:rsidRDefault="00E85E94" w:rsidP="0050116C">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Ministry of Family and Social Services Hotline 183</w:t>
      </w:r>
    </w:p>
    <w:p w14:paraId="047D2DBE" w14:textId="234B4B75" w:rsidR="00E85E94" w:rsidRDefault="00E85E94" w:rsidP="0050116C">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Presidency of Migration Management / YIMER Hotline 157</w:t>
      </w:r>
    </w:p>
    <w:p w14:paraId="10B3E582" w14:textId="727C8EE9" w:rsidR="00E85E94" w:rsidRDefault="00BC531D" w:rsidP="0050116C">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Ministry of Family and Social Services – Vodafone Easy Rescue Applicati</w:t>
      </w:r>
      <w:r w:rsidR="00F17277">
        <w:rPr>
          <w:rFonts w:ascii="Arial" w:hAnsi="Arial" w:cs="Arial"/>
          <w:lang w:val="en-US"/>
        </w:rPr>
        <w:t>o</w:t>
      </w:r>
      <w:r>
        <w:rPr>
          <w:rFonts w:ascii="Arial" w:hAnsi="Arial" w:cs="Arial"/>
          <w:lang w:val="en-US"/>
        </w:rPr>
        <w:t>n (Kırmızı Işık)</w:t>
      </w:r>
    </w:p>
    <w:p w14:paraId="32D22723" w14:textId="258295F3" w:rsidR="00BC531D" w:rsidRDefault="00BC531D" w:rsidP="0050116C">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Ministry of Interior / Directorate General of Security – KADES application to combat violence</w:t>
      </w:r>
    </w:p>
    <w:p w14:paraId="5C7E26C3" w14:textId="5D458679" w:rsidR="0036207B" w:rsidRPr="002100AC" w:rsidRDefault="00A03E8B" w:rsidP="0036207B">
      <w:pPr>
        <w:numPr>
          <w:ilvl w:val="0"/>
          <w:numId w:val="1"/>
        </w:numPr>
        <w:pBdr>
          <w:top w:val="nil"/>
          <w:left w:val="nil"/>
          <w:bottom w:val="nil"/>
          <w:right w:val="nil"/>
          <w:between w:val="nil"/>
        </w:pBdr>
        <w:tabs>
          <w:tab w:val="num" w:pos="720"/>
        </w:tabs>
        <w:spacing w:before="160"/>
        <w:ind w:left="450"/>
        <w:rPr>
          <w:rFonts w:ascii="Arial" w:hAnsi="Arial" w:cs="Arial"/>
          <w:b/>
          <w:bCs/>
          <w:lang w:val="en-US"/>
        </w:rPr>
      </w:pPr>
      <w:r>
        <w:rPr>
          <w:rFonts w:ascii="Arial" w:hAnsi="Arial" w:cs="Arial"/>
          <w:b/>
          <w:bCs/>
          <w:lang w:val="en-US"/>
        </w:rPr>
        <w:t>Complainants</w:t>
      </w:r>
      <w:r w:rsidR="0036207B" w:rsidRPr="002100AC">
        <w:rPr>
          <w:rFonts w:ascii="Arial" w:hAnsi="Arial" w:cs="Arial"/>
          <w:b/>
          <w:bCs/>
          <w:lang w:val="en-US"/>
        </w:rPr>
        <w:t xml:space="preserve"> have the freedom and right to seek support after an </w:t>
      </w:r>
      <w:r w:rsidR="009B1B9C">
        <w:rPr>
          <w:rFonts w:ascii="Arial" w:hAnsi="Arial" w:cs="Arial"/>
          <w:b/>
          <w:bCs/>
          <w:lang w:val="en-US"/>
        </w:rPr>
        <w:t>allegation</w:t>
      </w:r>
      <w:r w:rsidR="0036207B" w:rsidRPr="002100AC">
        <w:rPr>
          <w:rFonts w:ascii="Arial" w:hAnsi="Arial" w:cs="Arial"/>
          <w:b/>
          <w:bCs/>
          <w:lang w:val="en-US"/>
        </w:rPr>
        <w:t>. They may seek support from:</w:t>
      </w:r>
    </w:p>
    <w:p w14:paraId="7DCFE80D" w14:textId="2ECFB636" w:rsidR="0036207B" w:rsidRDefault="0036207B" w:rsidP="00A83131">
      <w:pPr>
        <w:pStyle w:val="ListParagraph"/>
        <w:numPr>
          <w:ilvl w:val="0"/>
          <w:numId w:val="13"/>
        </w:numPr>
        <w:pBdr>
          <w:top w:val="nil"/>
          <w:left w:val="nil"/>
          <w:bottom w:val="nil"/>
          <w:right w:val="nil"/>
          <w:between w:val="nil"/>
        </w:pBdr>
        <w:spacing w:before="160"/>
        <w:rPr>
          <w:rFonts w:ascii="Arial" w:hAnsi="Arial" w:cs="Arial"/>
          <w:lang w:val="en-US"/>
        </w:rPr>
      </w:pPr>
      <w:r w:rsidRPr="00A37FB4">
        <w:rPr>
          <w:rFonts w:ascii="Arial" w:hAnsi="Arial" w:cs="Arial"/>
          <w:lang w:val="en-US"/>
        </w:rPr>
        <w:t>UN agencies and I/NGOs</w:t>
      </w:r>
    </w:p>
    <w:p w14:paraId="2022AC96" w14:textId="77777777" w:rsidR="00A83131" w:rsidRDefault="005971B6" w:rsidP="00A83131">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Ministry of Family and Social Services / Social Service Centers</w:t>
      </w:r>
      <w:r w:rsidR="00A83131">
        <w:rPr>
          <w:rFonts w:ascii="Arial" w:hAnsi="Arial" w:cs="Arial"/>
          <w:lang w:val="en-US"/>
        </w:rPr>
        <w:t xml:space="preserve"> and Family Support Centers</w:t>
      </w:r>
    </w:p>
    <w:p w14:paraId="1BB37CFA" w14:textId="2A3B6C8A" w:rsidR="005971B6" w:rsidRDefault="005971B6" w:rsidP="00A83131">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Health care facilities such as hospitals and migrant health centers</w:t>
      </w:r>
    </w:p>
    <w:p w14:paraId="24E6CC4F" w14:textId="57853420" w:rsidR="005971B6" w:rsidRDefault="005971B6" w:rsidP="00A83131">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 xml:space="preserve">Women Counseling Centers at </w:t>
      </w:r>
      <w:r w:rsidR="003129B4">
        <w:rPr>
          <w:rFonts w:ascii="Arial" w:hAnsi="Arial" w:cs="Arial"/>
          <w:lang w:val="en-US"/>
        </w:rPr>
        <w:t>municipalities</w:t>
      </w:r>
    </w:p>
    <w:p w14:paraId="4F96DA53" w14:textId="1902CA75" w:rsidR="00A83131" w:rsidRDefault="00A83131" w:rsidP="00A83131">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Bar Associations</w:t>
      </w:r>
    </w:p>
    <w:p w14:paraId="496BD25E" w14:textId="783EE614" w:rsidR="006C507B" w:rsidRPr="00F567D7" w:rsidRDefault="00A83131" w:rsidP="00F567D7">
      <w:pPr>
        <w:pStyle w:val="ListParagraph"/>
        <w:numPr>
          <w:ilvl w:val="0"/>
          <w:numId w:val="13"/>
        </w:numPr>
        <w:pBdr>
          <w:top w:val="nil"/>
          <w:left w:val="nil"/>
          <w:bottom w:val="nil"/>
          <w:right w:val="nil"/>
          <w:between w:val="nil"/>
        </w:pBdr>
        <w:spacing w:before="160"/>
        <w:rPr>
          <w:rFonts w:ascii="Arial" w:hAnsi="Arial" w:cs="Arial"/>
          <w:lang w:val="en-US"/>
        </w:rPr>
      </w:pPr>
      <w:r>
        <w:rPr>
          <w:rFonts w:ascii="Arial" w:hAnsi="Arial" w:cs="Arial"/>
          <w:lang w:val="en-US"/>
        </w:rPr>
        <w:t>Provincial Directorates of Migration Management</w:t>
      </w:r>
    </w:p>
    <w:sectPr w:rsidR="006C507B" w:rsidRPr="00F567D7" w:rsidSect="00B64D9E">
      <w:headerReference w:type="default" r:id="rId18"/>
      <w:footerReference w:type="default" r:id="rId19"/>
      <w:pgSz w:w="12240" w:h="15840"/>
      <w:pgMar w:top="17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1E71" w14:textId="77777777" w:rsidR="006053F1" w:rsidRDefault="006053F1">
      <w:pPr>
        <w:spacing w:after="0" w:line="240" w:lineRule="auto"/>
      </w:pPr>
      <w:r>
        <w:separator/>
      </w:r>
    </w:p>
  </w:endnote>
  <w:endnote w:type="continuationSeparator" w:id="0">
    <w:p w14:paraId="0FB58D9B" w14:textId="77777777" w:rsidR="006053F1" w:rsidRDefault="006053F1">
      <w:pPr>
        <w:spacing w:after="0" w:line="240" w:lineRule="auto"/>
      </w:pPr>
      <w:r>
        <w:continuationSeparator/>
      </w:r>
    </w:p>
  </w:endnote>
  <w:endnote w:type="continuationNotice" w:id="1">
    <w:p w14:paraId="5E809963" w14:textId="77777777" w:rsidR="006053F1" w:rsidRDefault="00605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292A" w14:textId="5FAB7C57" w:rsidR="00AE6111" w:rsidRPr="006C507B" w:rsidRDefault="006C507B" w:rsidP="006C507B">
    <w:pPr>
      <w:pStyle w:val="Footer"/>
      <w:rPr>
        <w:rFonts w:ascii="Arial" w:hAnsi="Arial" w:cs="Arial"/>
        <w:color w:val="767171" w:themeColor="background2" w:themeShade="80"/>
        <w:sz w:val="18"/>
        <w:szCs w:val="18"/>
      </w:rPr>
    </w:pPr>
    <w:r w:rsidRPr="006C507B">
      <w:rPr>
        <w:rFonts w:ascii="Arial" w:hAnsi="Arial" w:cs="Arial"/>
        <w:color w:val="767171" w:themeColor="background2" w:themeShade="80"/>
        <w:sz w:val="18"/>
        <w:szCs w:val="18"/>
      </w:rPr>
      <w:t xml:space="preserve">Last Updated: </w:t>
    </w:r>
    <w:r w:rsidR="00326E98">
      <w:rPr>
        <w:rFonts w:ascii="Arial" w:hAnsi="Arial" w:cs="Arial"/>
        <w:color w:val="767171" w:themeColor="background2" w:themeShade="80"/>
        <w:sz w:val="18"/>
        <w:szCs w:val="18"/>
      </w:rPr>
      <w:t>December</w:t>
    </w:r>
    <w:r w:rsidR="00326E98" w:rsidRPr="006C507B">
      <w:rPr>
        <w:rFonts w:ascii="Arial" w:hAnsi="Arial" w:cs="Arial"/>
        <w:color w:val="767171" w:themeColor="background2" w:themeShade="80"/>
        <w:sz w:val="18"/>
        <w:szCs w:val="18"/>
      </w:rPr>
      <w:t xml:space="preserve"> </w:t>
    </w:r>
    <w:r w:rsidRPr="006C507B">
      <w:rPr>
        <w:rFonts w:ascii="Arial" w:hAnsi="Arial" w:cs="Arial"/>
        <w:color w:val="767171" w:themeColor="background2" w:themeShade="80"/>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F775" w14:textId="77777777" w:rsidR="006053F1" w:rsidRDefault="006053F1">
      <w:pPr>
        <w:spacing w:after="0" w:line="240" w:lineRule="auto"/>
      </w:pPr>
      <w:r>
        <w:separator/>
      </w:r>
    </w:p>
  </w:footnote>
  <w:footnote w:type="continuationSeparator" w:id="0">
    <w:p w14:paraId="72752D4C" w14:textId="77777777" w:rsidR="006053F1" w:rsidRDefault="006053F1">
      <w:pPr>
        <w:spacing w:after="0" w:line="240" w:lineRule="auto"/>
      </w:pPr>
      <w:r>
        <w:continuationSeparator/>
      </w:r>
    </w:p>
  </w:footnote>
  <w:footnote w:type="continuationNotice" w:id="1">
    <w:p w14:paraId="03AB980E" w14:textId="77777777" w:rsidR="006053F1" w:rsidRDefault="006053F1">
      <w:pPr>
        <w:spacing w:after="0" w:line="240" w:lineRule="auto"/>
      </w:pPr>
    </w:p>
  </w:footnote>
  <w:footnote w:id="2">
    <w:p w14:paraId="5FA0459D" w14:textId="5045BB2B" w:rsidR="00D50A54" w:rsidRPr="00C55B5F" w:rsidRDefault="00D50A54" w:rsidP="008F0CFD">
      <w:pPr>
        <w:pStyle w:val="FootnoteText"/>
        <w:spacing w:after="240"/>
        <w:rPr>
          <w:rFonts w:ascii="Arial" w:hAnsi="Arial" w:cs="Arial"/>
          <w:sz w:val="18"/>
          <w:szCs w:val="18"/>
          <w:lang w:val="en-US"/>
        </w:rPr>
      </w:pPr>
      <w:r w:rsidRPr="003131A0">
        <w:rPr>
          <w:rStyle w:val="FootnoteReference"/>
          <w:rFonts w:ascii="Arial" w:hAnsi="Arial" w:cs="Arial"/>
          <w:sz w:val="18"/>
          <w:szCs w:val="18"/>
        </w:rPr>
        <w:footnoteRef/>
      </w:r>
      <w:r w:rsidRPr="003131A0">
        <w:rPr>
          <w:rFonts w:ascii="Arial" w:hAnsi="Arial" w:cs="Arial"/>
          <w:sz w:val="18"/>
          <w:szCs w:val="18"/>
        </w:rPr>
        <w:t xml:space="preserve"> As per Law No. 5395 Art. 3, children in need of protection are defined as follows: any child whose physical, mental, moral, social or emotional development and personal safety is in danger, who are neglected or abused, or who are victims of crime. Art. 6 of the same Law indicates that judicial and administrative authorities, law enforcement officers, health and education institutions and non</w:t>
      </w:r>
      <w:r w:rsidR="004843DA" w:rsidRPr="003131A0">
        <w:rPr>
          <w:rFonts w:ascii="Arial" w:hAnsi="Arial" w:cs="Arial"/>
          <w:sz w:val="18"/>
          <w:szCs w:val="18"/>
        </w:rPr>
        <w:t>-</w:t>
      </w:r>
      <w:r w:rsidRPr="003131A0">
        <w:rPr>
          <w:rFonts w:ascii="Arial" w:hAnsi="Arial" w:cs="Arial"/>
          <w:sz w:val="18"/>
          <w:szCs w:val="18"/>
        </w:rPr>
        <w:t xml:space="preserve">governmental organizations have the obligation to notify the </w:t>
      </w:r>
      <w:r w:rsidR="00FC5E9C" w:rsidRPr="003131A0">
        <w:rPr>
          <w:rFonts w:ascii="Arial" w:hAnsi="Arial" w:cs="Arial"/>
          <w:sz w:val="18"/>
          <w:szCs w:val="18"/>
        </w:rPr>
        <w:t>DG of Child Services</w:t>
      </w:r>
      <w:r w:rsidRPr="003131A0">
        <w:rPr>
          <w:rFonts w:ascii="Arial" w:hAnsi="Arial" w:cs="Arial"/>
          <w:sz w:val="18"/>
          <w:szCs w:val="18"/>
        </w:rPr>
        <w:t xml:space="preserve"> of any </w:t>
      </w:r>
      <w:r w:rsidR="00FC5E9C" w:rsidRPr="003131A0">
        <w:rPr>
          <w:rFonts w:ascii="Arial" w:hAnsi="Arial" w:cs="Arial"/>
          <w:sz w:val="18"/>
          <w:szCs w:val="18"/>
        </w:rPr>
        <w:t>children</w:t>
      </w:r>
      <w:r w:rsidRPr="003131A0">
        <w:rPr>
          <w:rFonts w:ascii="Arial" w:hAnsi="Arial" w:cs="Arial"/>
          <w:sz w:val="18"/>
          <w:szCs w:val="18"/>
        </w:rPr>
        <w:t xml:space="preserve"> that are in need of protection.</w:t>
      </w:r>
      <w:r w:rsidRPr="00C55B5F">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4FD8" w14:textId="11CBC9CE" w:rsidR="00847A99" w:rsidRDefault="00847A99">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hidden="0" allowOverlap="1" wp14:anchorId="54786472" wp14:editId="6926A315">
          <wp:simplePos x="0" y="0"/>
          <wp:positionH relativeFrom="column">
            <wp:posOffset>1709420</wp:posOffset>
          </wp:positionH>
          <wp:positionV relativeFrom="paragraph">
            <wp:posOffset>-165735</wp:posOffset>
          </wp:positionV>
          <wp:extent cx="2466975" cy="599440"/>
          <wp:effectExtent l="0" t="0" r="0" b="0"/>
          <wp:wrapSquare wrapText="bothSides" distT="0" distB="0" distL="114300" distR="114300"/>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466975" cy="599440"/>
                  </a:xfrm>
                  <a:prstGeom prst="rect">
                    <a:avLst/>
                  </a:prstGeom>
                  <a:ln/>
                </pic:spPr>
              </pic:pic>
            </a:graphicData>
          </a:graphic>
        </wp:anchor>
      </w:drawing>
    </w:r>
  </w:p>
  <w:p w14:paraId="54786471" w14:textId="5DC2B5F8" w:rsidR="00B21943" w:rsidRPr="0064292B" w:rsidRDefault="00B21943">
    <w:pPr>
      <w:pBdr>
        <w:top w:val="nil"/>
        <w:left w:val="nil"/>
        <w:bottom w:val="nil"/>
        <w:right w:val="nil"/>
        <w:between w:val="nil"/>
      </w:pBdr>
      <w:tabs>
        <w:tab w:val="center" w:pos="4680"/>
        <w:tab w:val="right" w:pos="9360"/>
      </w:tabs>
      <w:spacing w:after="0" w:line="240" w:lineRule="auto"/>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212"/>
    <w:multiLevelType w:val="hybridMultilevel"/>
    <w:tmpl w:val="76A033FC"/>
    <w:lvl w:ilvl="0" w:tplc="A40A8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1671"/>
    <w:multiLevelType w:val="hybridMultilevel"/>
    <w:tmpl w:val="654462FC"/>
    <w:lvl w:ilvl="0" w:tplc="A40A8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354CE"/>
    <w:multiLevelType w:val="multilevel"/>
    <w:tmpl w:val="593C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407F4"/>
    <w:multiLevelType w:val="hybridMultilevel"/>
    <w:tmpl w:val="91D4D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1AD1"/>
    <w:multiLevelType w:val="hybridMultilevel"/>
    <w:tmpl w:val="EB98B568"/>
    <w:lvl w:ilvl="0" w:tplc="A40A8CEA">
      <w:start w:val="1"/>
      <w:numFmt w:val="bullet"/>
      <w:lvlText w:val="–"/>
      <w:lvlJc w:val="left"/>
      <w:pPr>
        <w:ind w:left="1170" w:hanging="360"/>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7AC1E51"/>
    <w:multiLevelType w:val="hybridMultilevel"/>
    <w:tmpl w:val="64B88700"/>
    <w:lvl w:ilvl="0" w:tplc="A40A8CEA">
      <w:start w:val="1"/>
      <w:numFmt w:val="bullet"/>
      <w:lvlText w:val="–"/>
      <w:lvlJc w:val="left"/>
      <w:pPr>
        <w:tabs>
          <w:tab w:val="num" w:pos="720"/>
        </w:tabs>
        <w:ind w:left="720" w:hanging="360"/>
      </w:pPr>
      <w:rPr>
        <w:rFonts w:ascii="Arial" w:hAnsi="Arial" w:hint="default"/>
      </w:rPr>
    </w:lvl>
    <w:lvl w:ilvl="1" w:tplc="77427C4A" w:tentative="1">
      <w:start w:val="1"/>
      <w:numFmt w:val="bullet"/>
      <w:lvlText w:val="–"/>
      <w:lvlJc w:val="left"/>
      <w:pPr>
        <w:tabs>
          <w:tab w:val="num" w:pos="1440"/>
        </w:tabs>
        <w:ind w:left="1440" w:hanging="360"/>
      </w:pPr>
      <w:rPr>
        <w:rFonts w:ascii="Arial" w:hAnsi="Arial" w:hint="default"/>
      </w:rPr>
    </w:lvl>
    <w:lvl w:ilvl="2" w:tplc="9538FD98" w:tentative="1">
      <w:start w:val="1"/>
      <w:numFmt w:val="bullet"/>
      <w:lvlText w:val="–"/>
      <w:lvlJc w:val="left"/>
      <w:pPr>
        <w:tabs>
          <w:tab w:val="num" w:pos="2160"/>
        </w:tabs>
        <w:ind w:left="2160" w:hanging="360"/>
      </w:pPr>
      <w:rPr>
        <w:rFonts w:ascii="Arial" w:hAnsi="Arial" w:hint="default"/>
      </w:rPr>
    </w:lvl>
    <w:lvl w:ilvl="3" w:tplc="42727862" w:tentative="1">
      <w:start w:val="1"/>
      <w:numFmt w:val="bullet"/>
      <w:lvlText w:val="–"/>
      <w:lvlJc w:val="left"/>
      <w:pPr>
        <w:tabs>
          <w:tab w:val="num" w:pos="2880"/>
        </w:tabs>
        <w:ind w:left="2880" w:hanging="360"/>
      </w:pPr>
      <w:rPr>
        <w:rFonts w:ascii="Arial" w:hAnsi="Arial" w:hint="default"/>
      </w:rPr>
    </w:lvl>
    <w:lvl w:ilvl="4" w:tplc="B9B268E8" w:tentative="1">
      <w:start w:val="1"/>
      <w:numFmt w:val="bullet"/>
      <w:lvlText w:val="–"/>
      <w:lvlJc w:val="left"/>
      <w:pPr>
        <w:tabs>
          <w:tab w:val="num" w:pos="3600"/>
        </w:tabs>
        <w:ind w:left="3600" w:hanging="360"/>
      </w:pPr>
      <w:rPr>
        <w:rFonts w:ascii="Arial" w:hAnsi="Arial" w:hint="default"/>
      </w:rPr>
    </w:lvl>
    <w:lvl w:ilvl="5" w:tplc="21DA19F8" w:tentative="1">
      <w:start w:val="1"/>
      <w:numFmt w:val="bullet"/>
      <w:lvlText w:val="–"/>
      <w:lvlJc w:val="left"/>
      <w:pPr>
        <w:tabs>
          <w:tab w:val="num" w:pos="4320"/>
        </w:tabs>
        <w:ind w:left="4320" w:hanging="360"/>
      </w:pPr>
      <w:rPr>
        <w:rFonts w:ascii="Arial" w:hAnsi="Arial" w:hint="default"/>
      </w:rPr>
    </w:lvl>
    <w:lvl w:ilvl="6" w:tplc="AD66C71A" w:tentative="1">
      <w:start w:val="1"/>
      <w:numFmt w:val="bullet"/>
      <w:lvlText w:val="–"/>
      <w:lvlJc w:val="left"/>
      <w:pPr>
        <w:tabs>
          <w:tab w:val="num" w:pos="5040"/>
        </w:tabs>
        <w:ind w:left="5040" w:hanging="360"/>
      </w:pPr>
      <w:rPr>
        <w:rFonts w:ascii="Arial" w:hAnsi="Arial" w:hint="default"/>
      </w:rPr>
    </w:lvl>
    <w:lvl w:ilvl="7" w:tplc="C13254C4" w:tentative="1">
      <w:start w:val="1"/>
      <w:numFmt w:val="bullet"/>
      <w:lvlText w:val="–"/>
      <w:lvlJc w:val="left"/>
      <w:pPr>
        <w:tabs>
          <w:tab w:val="num" w:pos="5760"/>
        </w:tabs>
        <w:ind w:left="5760" w:hanging="360"/>
      </w:pPr>
      <w:rPr>
        <w:rFonts w:ascii="Arial" w:hAnsi="Arial" w:hint="default"/>
      </w:rPr>
    </w:lvl>
    <w:lvl w:ilvl="8" w:tplc="43F68C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AC7222"/>
    <w:multiLevelType w:val="multilevel"/>
    <w:tmpl w:val="875085BC"/>
    <w:lvl w:ilvl="0">
      <w:start w:val="1"/>
      <w:numFmt w:val="bullet"/>
      <w:lvlText w:val="▪"/>
      <w:lvlJc w:val="left"/>
      <w:pPr>
        <w:ind w:left="720" w:hanging="360"/>
      </w:pPr>
      <w:rPr>
        <w:rFonts w:ascii="Noto Sans Symbols" w:eastAsia="Noto Sans Symbols" w:hAnsi="Noto Sans Symbols" w:cs="Noto Sans Symbols"/>
        <w:color w:val="5B9BD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AD7A5F"/>
    <w:multiLevelType w:val="hybridMultilevel"/>
    <w:tmpl w:val="C14616D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5033F7"/>
    <w:multiLevelType w:val="hybridMultilevel"/>
    <w:tmpl w:val="8F86A474"/>
    <w:lvl w:ilvl="0" w:tplc="6EFAD916">
      <w:start w:val="1"/>
      <w:numFmt w:val="bullet"/>
      <w:lvlText w:val=""/>
      <w:lvlJc w:val="left"/>
      <w:pPr>
        <w:tabs>
          <w:tab w:val="num" w:pos="720"/>
        </w:tabs>
        <w:ind w:left="720" w:hanging="360"/>
      </w:pPr>
      <w:rPr>
        <w:rFonts w:ascii="Wingdings" w:hAnsi="Wingdings" w:hint="default"/>
      </w:rPr>
    </w:lvl>
    <w:lvl w:ilvl="1" w:tplc="D8EA44BC" w:tentative="1">
      <w:start w:val="1"/>
      <w:numFmt w:val="bullet"/>
      <w:lvlText w:val=""/>
      <w:lvlJc w:val="left"/>
      <w:pPr>
        <w:tabs>
          <w:tab w:val="num" w:pos="1440"/>
        </w:tabs>
        <w:ind w:left="1440" w:hanging="360"/>
      </w:pPr>
      <w:rPr>
        <w:rFonts w:ascii="Wingdings" w:hAnsi="Wingdings" w:hint="default"/>
      </w:rPr>
    </w:lvl>
    <w:lvl w:ilvl="2" w:tplc="75C0CCF4" w:tentative="1">
      <w:start w:val="1"/>
      <w:numFmt w:val="bullet"/>
      <w:lvlText w:val=""/>
      <w:lvlJc w:val="left"/>
      <w:pPr>
        <w:tabs>
          <w:tab w:val="num" w:pos="2160"/>
        </w:tabs>
        <w:ind w:left="2160" w:hanging="360"/>
      </w:pPr>
      <w:rPr>
        <w:rFonts w:ascii="Wingdings" w:hAnsi="Wingdings" w:hint="default"/>
      </w:rPr>
    </w:lvl>
    <w:lvl w:ilvl="3" w:tplc="58BC7D30" w:tentative="1">
      <w:start w:val="1"/>
      <w:numFmt w:val="bullet"/>
      <w:lvlText w:val=""/>
      <w:lvlJc w:val="left"/>
      <w:pPr>
        <w:tabs>
          <w:tab w:val="num" w:pos="2880"/>
        </w:tabs>
        <w:ind w:left="2880" w:hanging="360"/>
      </w:pPr>
      <w:rPr>
        <w:rFonts w:ascii="Wingdings" w:hAnsi="Wingdings" w:hint="default"/>
      </w:rPr>
    </w:lvl>
    <w:lvl w:ilvl="4" w:tplc="39DE43CC" w:tentative="1">
      <w:start w:val="1"/>
      <w:numFmt w:val="bullet"/>
      <w:lvlText w:val=""/>
      <w:lvlJc w:val="left"/>
      <w:pPr>
        <w:tabs>
          <w:tab w:val="num" w:pos="3600"/>
        </w:tabs>
        <w:ind w:left="3600" w:hanging="360"/>
      </w:pPr>
      <w:rPr>
        <w:rFonts w:ascii="Wingdings" w:hAnsi="Wingdings" w:hint="default"/>
      </w:rPr>
    </w:lvl>
    <w:lvl w:ilvl="5" w:tplc="35B01694" w:tentative="1">
      <w:start w:val="1"/>
      <w:numFmt w:val="bullet"/>
      <w:lvlText w:val=""/>
      <w:lvlJc w:val="left"/>
      <w:pPr>
        <w:tabs>
          <w:tab w:val="num" w:pos="4320"/>
        </w:tabs>
        <w:ind w:left="4320" w:hanging="360"/>
      </w:pPr>
      <w:rPr>
        <w:rFonts w:ascii="Wingdings" w:hAnsi="Wingdings" w:hint="default"/>
      </w:rPr>
    </w:lvl>
    <w:lvl w:ilvl="6" w:tplc="74A8D750" w:tentative="1">
      <w:start w:val="1"/>
      <w:numFmt w:val="bullet"/>
      <w:lvlText w:val=""/>
      <w:lvlJc w:val="left"/>
      <w:pPr>
        <w:tabs>
          <w:tab w:val="num" w:pos="5040"/>
        </w:tabs>
        <w:ind w:left="5040" w:hanging="360"/>
      </w:pPr>
      <w:rPr>
        <w:rFonts w:ascii="Wingdings" w:hAnsi="Wingdings" w:hint="default"/>
      </w:rPr>
    </w:lvl>
    <w:lvl w:ilvl="7" w:tplc="B126B146" w:tentative="1">
      <w:start w:val="1"/>
      <w:numFmt w:val="bullet"/>
      <w:lvlText w:val=""/>
      <w:lvlJc w:val="left"/>
      <w:pPr>
        <w:tabs>
          <w:tab w:val="num" w:pos="5760"/>
        </w:tabs>
        <w:ind w:left="5760" w:hanging="360"/>
      </w:pPr>
      <w:rPr>
        <w:rFonts w:ascii="Wingdings" w:hAnsi="Wingdings" w:hint="default"/>
      </w:rPr>
    </w:lvl>
    <w:lvl w:ilvl="8" w:tplc="3698EA1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725B22"/>
    <w:multiLevelType w:val="hybridMultilevel"/>
    <w:tmpl w:val="BF86E79C"/>
    <w:lvl w:ilvl="0" w:tplc="A40A8CEA">
      <w:start w:val="1"/>
      <w:numFmt w:val="bullet"/>
      <w:lvlText w:val="–"/>
      <w:lvlJc w:val="left"/>
      <w:pPr>
        <w:ind w:left="1170" w:hanging="360"/>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771835E0"/>
    <w:multiLevelType w:val="hybridMultilevel"/>
    <w:tmpl w:val="1820C874"/>
    <w:lvl w:ilvl="0" w:tplc="A40A8CEA">
      <w:start w:val="1"/>
      <w:numFmt w:val="bullet"/>
      <w:lvlText w:val="–"/>
      <w:lvlJc w:val="left"/>
      <w:pPr>
        <w:ind w:left="1170" w:hanging="360"/>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788E29E7"/>
    <w:multiLevelType w:val="multilevel"/>
    <w:tmpl w:val="8F481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E8E52F2"/>
    <w:multiLevelType w:val="hybridMultilevel"/>
    <w:tmpl w:val="854400EA"/>
    <w:lvl w:ilvl="0" w:tplc="7D083E3A">
      <w:start w:val="1"/>
      <w:numFmt w:val="bullet"/>
      <w:lvlText w:val=""/>
      <w:lvlJc w:val="left"/>
      <w:pPr>
        <w:tabs>
          <w:tab w:val="num" w:pos="720"/>
        </w:tabs>
        <w:ind w:left="720" w:hanging="360"/>
      </w:pPr>
      <w:rPr>
        <w:rFonts w:ascii="Wingdings" w:hAnsi="Wingdings" w:hint="default"/>
      </w:rPr>
    </w:lvl>
    <w:lvl w:ilvl="1" w:tplc="88B0584A" w:tentative="1">
      <w:start w:val="1"/>
      <w:numFmt w:val="bullet"/>
      <w:lvlText w:val=""/>
      <w:lvlJc w:val="left"/>
      <w:pPr>
        <w:tabs>
          <w:tab w:val="num" w:pos="1440"/>
        </w:tabs>
        <w:ind w:left="1440" w:hanging="360"/>
      </w:pPr>
      <w:rPr>
        <w:rFonts w:ascii="Wingdings" w:hAnsi="Wingdings" w:hint="default"/>
      </w:rPr>
    </w:lvl>
    <w:lvl w:ilvl="2" w:tplc="A508CD68" w:tentative="1">
      <w:start w:val="1"/>
      <w:numFmt w:val="bullet"/>
      <w:lvlText w:val=""/>
      <w:lvlJc w:val="left"/>
      <w:pPr>
        <w:tabs>
          <w:tab w:val="num" w:pos="2160"/>
        </w:tabs>
        <w:ind w:left="2160" w:hanging="360"/>
      </w:pPr>
      <w:rPr>
        <w:rFonts w:ascii="Wingdings" w:hAnsi="Wingdings" w:hint="default"/>
      </w:rPr>
    </w:lvl>
    <w:lvl w:ilvl="3" w:tplc="92040F52" w:tentative="1">
      <w:start w:val="1"/>
      <w:numFmt w:val="bullet"/>
      <w:lvlText w:val=""/>
      <w:lvlJc w:val="left"/>
      <w:pPr>
        <w:tabs>
          <w:tab w:val="num" w:pos="2880"/>
        </w:tabs>
        <w:ind w:left="2880" w:hanging="360"/>
      </w:pPr>
      <w:rPr>
        <w:rFonts w:ascii="Wingdings" w:hAnsi="Wingdings" w:hint="default"/>
      </w:rPr>
    </w:lvl>
    <w:lvl w:ilvl="4" w:tplc="2E78F8C8" w:tentative="1">
      <w:start w:val="1"/>
      <w:numFmt w:val="bullet"/>
      <w:lvlText w:val=""/>
      <w:lvlJc w:val="left"/>
      <w:pPr>
        <w:tabs>
          <w:tab w:val="num" w:pos="3600"/>
        </w:tabs>
        <w:ind w:left="3600" w:hanging="360"/>
      </w:pPr>
      <w:rPr>
        <w:rFonts w:ascii="Wingdings" w:hAnsi="Wingdings" w:hint="default"/>
      </w:rPr>
    </w:lvl>
    <w:lvl w:ilvl="5" w:tplc="C658A016" w:tentative="1">
      <w:start w:val="1"/>
      <w:numFmt w:val="bullet"/>
      <w:lvlText w:val=""/>
      <w:lvlJc w:val="left"/>
      <w:pPr>
        <w:tabs>
          <w:tab w:val="num" w:pos="4320"/>
        </w:tabs>
        <w:ind w:left="4320" w:hanging="360"/>
      </w:pPr>
      <w:rPr>
        <w:rFonts w:ascii="Wingdings" w:hAnsi="Wingdings" w:hint="default"/>
      </w:rPr>
    </w:lvl>
    <w:lvl w:ilvl="6" w:tplc="05BC7B46" w:tentative="1">
      <w:start w:val="1"/>
      <w:numFmt w:val="bullet"/>
      <w:lvlText w:val=""/>
      <w:lvlJc w:val="left"/>
      <w:pPr>
        <w:tabs>
          <w:tab w:val="num" w:pos="5040"/>
        </w:tabs>
        <w:ind w:left="5040" w:hanging="360"/>
      </w:pPr>
      <w:rPr>
        <w:rFonts w:ascii="Wingdings" w:hAnsi="Wingdings" w:hint="default"/>
      </w:rPr>
    </w:lvl>
    <w:lvl w:ilvl="7" w:tplc="9E1C370A" w:tentative="1">
      <w:start w:val="1"/>
      <w:numFmt w:val="bullet"/>
      <w:lvlText w:val=""/>
      <w:lvlJc w:val="left"/>
      <w:pPr>
        <w:tabs>
          <w:tab w:val="num" w:pos="5760"/>
        </w:tabs>
        <w:ind w:left="5760" w:hanging="360"/>
      </w:pPr>
      <w:rPr>
        <w:rFonts w:ascii="Wingdings" w:hAnsi="Wingdings" w:hint="default"/>
      </w:rPr>
    </w:lvl>
    <w:lvl w:ilvl="8" w:tplc="EC9E02BC" w:tentative="1">
      <w:start w:val="1"/>
      <w:numFmt w:val="bullet"/>
      <w:lvlText w:val=""/>
      <w:lvlJc w:val="left"/>
      <w:pPr>
        <w:tabs>
          <w:tab w:val="num" w:pos="6480"/>
        </w:tabs>
        <w:ind w:left="6480" w:hanging="360"/>
      </w:pPr>
      <w:rPr>
        <w:rFonts w:ascii="Wingdings" w:hAnsi="Wingdings" w:hint="default"/>
      </w:rPr>
    </w:lvl>
  </w:abstractNum>
  <w:num w:numId="1" w16cid:durableId="1969049890">
    <w:abstractNumId w:val="6"/>
  </w:num>
  <w:num w:numId="2" w16cid:durableId="2029482522">
    <w:abstractNumId w:val="12"/>
  </w:num>
  <w:num w:numId="3" w16cid:durableId="1171484979">
    <w:abstractNumId w:val="5"/>
  </w:num>
  <w:num w:numId="4" w16cid:durableId="134839141">
    <w:abstractNumId w:val="8"/>
  </w:num>
  <w:num w:numId="5" w16cid:durableId="650865538">
    <w:abstractNumId w:val="4"/>
  </w:num>
  <w:num w:numId="6" w16cid:durableId="820973357">
    <w:abstractNumId w:val="11"/>
  </w:num>
  <w:num w:numId="7" w16cid:durableId="316495734">
    <w:abstractNumId w:val="2"/>
  </w:num>
  <w:num w:numId="8" w16cid:durableId="2055350386">
    <w:abstractNumId w:val="1"/>
  </w:num>
  <w:num w:numId="9" w16cid:durableId="2009363017">
    <w:abstractNumId w:val="7"/>
  </w:num>
  <w:num w:numId="10" w16cid:durableId="36515296">
    <w:abstractNumId w:val="3"/>
  </w:num>
  <w:num w:numId="11" w16cid:durableId="57170776">
    <w:abstractNumId w:val="9"/>
  </w:num>
  <w:num w:numId="12" w16cid:durableId="597492329">
    <w:abstractNumId w:val="10"/>
  </w:num>
  <w:num w:numId="13" w16cid:durableId="154968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szQzNTY0Mjc2MzdU0lEKTi0uzszPAymwqAUA4uc6OSwAAAA="/>
  </w:docVars>
  <w:rsids>
    <w:rsidRoot w:val="00B21943"/>
    <w:rsid w:val="00004F6B"/>
    <w:rsid w:val="000201A7"/>
    <w:rsid w:val="000226D1"/>
    <w:rsid w:val="00041618"/>
    <w:rsid w:val="00054E8A"/>
    <w:rsid w:val="00063653"/>
    <w:rsid w:val="0007618A"/>
    <w:rsid w:val="0007681C"/>
    <w:rsid w:val="000834FB"/>
    <w:rsid w:val="000907F3"/>
    <w:rsid w:val="000A3725"/>
    <w:rsid w:val="000A6C1E"/>
    <w:rsid w:val="000B2198"/>
    <w:rsid w:val="000D02E7"/>
    <w:rsid w:val="000D045A"/>
    <w:rsid w:val="000D7B64"/>
    <w:rsid w:val="000E4966"/>
    <w:rsid w:val="000E4C42"/>
    <w:rsid w:val="000E50A7"/>
    <w:rsid w:val="000F15F6"/>
    <w:rsid w:val="000F2CC6"/>
    <w:rsid w:val="00110BD6"/>
    <w:rsid w:val="0012029E"/>
    <w:rsid w:val="00122AF8"/>
    <w:rsid w:val="00164E77"/>
    <w:rsid w:val="001A7FC9"/>
    <w:rsid w:val="001B4A87"/>
    <w:rsid w:val="001C6F0E"/>
    <w:rsid w:val="001D1B0D"/>
    <w:rsid w:val="001D33A8"/>
    <w:rsid w:val="001D4655"/>
    <w:rsid w:val="001D773D"/>
    <w:rsid w:val="001D7C92"/>
    <w:rsid w:val="001E31E5"/>
    <w:rsid w:val="001E659B"/>
    <w:rsid w:val="001E73AC"/>
    <w:rsid w:val="001E7B06"/>
    <w:rsid w:val="00204A52"/>
    <w:rsid w:val="00205551"/>
    <w:rsid w:val="00206AEC"/>
    <w:rsid w:val="002100AC"/>
    <w:rsid w:val="002210EA"/>
    <w:rsid w:val="00222366"/>
    <w:rsid w:val="002256EB"/>
    <w:rsid w:val="00227ECC"/>
    <w:rsid w:val="0023123D"/>
    <w:rsid w:val="002403FF"/>
    <w:rsid w:val="002428CD"/>
    <w:rsid w:val="00245A71"/>
    <w:rsid w:val="002477CA"/>
    <w:rsid w:val="00251B42"/>
    <w:rsid w:val="002620C0"/>
    <w:rsid w:val="00262188"/>
    <w:rsid w:val="002705E5"/>
    <w:rsid w:val="00292148"/>
    <w:rsid w:val="002974CC"/>
    <w:rsid w:val="002B0B65"/>
    <w:rsid w:val="002C2BF1"/>
    <w:rsid w:val="002E7A67"/>
    <w:rsid w:val="002F279D"/>
    <w:rsid w:val="00310400"/>
    <w:rsid w:val="003129B4"/>
    <w:rsid w:val="00312CA7"/>
    <w:rsid w:val="003131A0"/>
    <w:rsid w:val="003169BA"/>
    <w:rsid w:val="00323043"/>
    <w:rsid w:val="00326E98"/>
    <w:rsid w:val="0036207B"/>
    <w:rsid w:val="00365BBE"/>
    <w:rsid w:val="00377CB6"/>
    <w:rsid w:val="003A3B9B"/>
    <w:rsid w:val="003C0D18"/>
    <w:rsid w:val="003C12AB"/>
    <w:rsid w:val="003C1C9B"/>
    <w:rsid w:val="003C6835"/>
    <w:rsid w:val="003E3359"/>
    <w:rsid w:val="00400D66"/>
    <w:rsid w:val="00404C77"/>
    <w:rsid w:val="004050A6"/>
    <w:rsid w:val="00410A9C"/>
    <w:rsid w:val="00411921"/>
    <w:rsid w:val="00440EE1"/>
    <w:rsid w:val="004445C0"/>
    <w:rsid w:val="00476E8F"/>
    <w:rsid w:val="00480B12"/>
    <w:rsid w:val="004843DA"/>
    <w:rsid w:val="00486809"/>
    <w:rsid w:val="00487C30"/>
    <w:rsid w:val="00492DD3"/>
    <w:rsid w:val="00493F31"/>
    <w:rsid w:val="004948BD"/>
    <w:rsid w:val="00497E3B"/>
    <w:rsid w:val="004A406C"/>
    <w:rsid w:val="004A5A42"/>
    <w:rsid w:val="004C7559"/>
    <w:rsid w:val="004D418C"/>
    <w:rsid w:val="004E2465"/>
    <w:rsid w:val="004F3F9F"/>
    <w:rsid w:val="0050116C"/>
    <w:rsid w:val="00521BCC"/>
    <w:rsid w:val="00521C39"/>
    <w:rsid w:val="00530103"/>
    <w:rsid w:val="005302D6"/>
    <w:rsid w:val="00542CCE"/>
    <w:rsid w:val="005444FF"/>
    <w:rsid w:val="00547473"/>
    <w:rsid w:val="005504EB"/>
    <w:rsid w:val="0055183E"/>
    <w:rsid w:val="0057093C"/>
    <w:rsid w:val="00571F21"/>
    <w:rsid w:val="005741C2"/>
    <w:rsid w:val="00591DE9"/>
    <w:rsid w:val="005971B6"/>
    <w:rsid w:val="005B4D1B"/>
    <w:rsid w:val="005F5ABD"/>
    <w:rsid w:val="00601A25"/>
    <w:rsid w:val="006053F1"/>
    <w:rsid w:val="00624205"/>
    <w:rsid w:val="00630989"/>
    <w:rsid w:val="00631F9C"/>
    <w:rsid w:val="00641F48"/>
    <w:rsid w:val="0064292B"/>
    <w:rsid w:val="006441D5"/>
    <w:rsid w:val="0065208D"/>
    <w:rsid w:val="006777C2"/>
    <w:rsid w:val="0068396D"/>
    <w:rsid w:val="00696F5A"/>
    <w:rsid w:val="00697FDB"/>
    <w:rsid w:val="006A446B"/>
    <w:rsid w:val="006C20A7"/>
    <w:rsid w:val="006C2AC9"/>
    <w:rsid w:val="006C358D"/>
    <w:rsid w:val="006C507B"/>
    <w:rsid w:val="006C7DDC"/>
    <w:rsid w:val="006D31C8"/>
    <w:rsid w:val="006E0F30"/>
    <w:rsid w:val="006E1E39"/>
    <w:rsid w:val="006E3568"/>
    <w:rsid w:val="006E62CC"/>
    <w:rsid w:val="006F1503"/>
    <w:rsid w:val="006F21EB"/>
    <w:rsid w:val="006F72E9"/>
    <w:rsid w:val="00724B38"/>
    <w:rsid w:val="00726244"/>
    <w:rsid w:val="007530B7"/>
    <w:rsid w:val="00761108"/>
    <w:rsid w:val="00762CBF"/>
    <w:rsid w:val="00766D3B"/>
    <w:rsid w:val="00777373"/>
    <w:rsid w:val="007A179D"/>
    <w:rsid w:val="007A3CF9"/>
    <w:rsid w:val="007A534C"/>
    <w:rsid w:val="007B2B98"/>
    <w:rsid w:val="007C5C84"/>
    <w:rsid w:val="007C63E0"/>
    <w:rsid w:val="007E1102"/>
    <w:rsid w:val="007E1ABF"/>
    <w:rsid w:val="007E1FBB"/>
    <w:rsid w:val="007F3993"/>
    <w:rsid w:val="007F3EC8"/>
    <w:rsid w:val="0080335F"/>
    <w:rsid w:val="0080339B"/>
    <w:rsid w:val="008053E3"/>
    <w:rsid w:val="008236A0"/>
    <w:rsid w:val="00841EDF"/>
    <w:rsid w:val="00846B6D"/>
    <w:rsid w:val="00847A99"/>
    <w:rsid w:val="00895656"/>
    <w:rsid w:val="008C0040"/>
    <w:rsid w:val="008E1FB4"/>
    <w:rsid w:val="008E22DF"/>
    <w:rsid w:val="008F0CFD"/>
    <w:rsid w:val="008F72B2"/>
    <w:rsid w:val="008F7954"/>
    <w:rsid w:val="009050E2"/>
    <w:rsid w:val="00914B51"/>
    <w:rsid w:val="0092159E"/>
    <w:rsid w:val="009268FD"/>
    <w:rsid w:val="00932F5A"/>
    <w:rsid w:val="0094089E"/>
    <w:rsid w:val="00955299"/>
    <w:rsid w:val="0095566E"/>
    <w:rsid w:val="0095748F"/>
    <w:rsid w:val="00961C09"/>
    <w:rsid w:val="0096344E"/>
    <w:rsid w:val="0097038F"/>
    <w:rsid w:val="00984275"/>
    <w:rsid w:val="00993532"/>
    <w:rsid w:val="00994A91"/>
    <w:rsid w:val="00995718"/>
    <w:rsid w:val="009959A1"/>
    <w:rsid w:val="009B1B9C"/>
    <w:rsid w:val="009B7632"/>
    <w:rsid w:val="009C1EE5"/>
    <w:rsid w:val="009C3973"/>
    <w:rsid w:val="009D28D1"/>
    <w:rsid w:val="009E2E22"/>
    <w:rsid w:val="009E5178"/>
    <w:rsid w:val="009F0E72"/>
    <w:rsid w:val="009F15EF"/>
    <w:rsid w:val="009F364B"/>
    <w:rsid w:val="009F4E34"/>
    <w:rsid w:val="00A03E23"/>
    <w:rsid w:val="00A03E8B"/>
    <w:rsid w:val="00A058D2"/>
    <w:rsid w:val="00A07617"/>
    <w:rsid w:val="00A12D78"/>
    <w:rsid w:val="00A148AD"/>
    <w:rsid w:val="00A14DC4"/>
    <w:rsid w:val="00A15207"/>
    <w:rsid w:val="00A1576F"/>
    <w:rsid w:val="00A249AE"/>
    <w:rsid w:val="00A36514"/>
    <w:rsid w:val="00A37FB4"/>
    <w:rsid w:val="00A61711"/>
    <w:rsid w:val="00A728D8"/>
    <w:rsid w:val="00A83131"/>
    <w:rsid w:val="00A91B9D"/>
    <w:rsid w:val="00AA010C"/>
    <w:rsid w:val="00AB7FCB"/>
    <w:rsid w:val="00AC7973"/>
    <w:rsid w:val="00AE6111"/>
    <w:rsid w:val="00B21943"/>
    <w:rsid w:val="00B25212"/>
    <w:rsid w:val="00B30FEB"/>
    <w:rsid w:val="00B312DC"/>
    <w:rsid w:val="00B374AA"/>
    <w:rsid w:val="00B412B1"/>
    <w:rsid w:val="00B45CEA"/>
    <w:rsid w:val="00B545EB"/>
    <w:rsid w:val="00B64D9E"/>
    <w:rsid w:val="00B66B14"/>
    <w:rsid w:val="00B7223C"/>
    <w:rsid w:val="00B72D42"/>
    <w:rsid w:val="00B76C7D"/>
    <w:rsid w:val="00B86642"/>
    <w:rsid w:val="00B87517"/>
    <w:rsid w:val="00BA2F77"/>
    <w:rsid w:val="00BA4BDD"/>
    <w:rsid w:val="00BA4D1E"/>
    <w:rsid w:val="00BB263E"/>
    <w:rsid w:val="00BB73A2"/>
    <w:rsid w:val="00BC3189"/>
    <w:rsid w:val="00BC531D"/>
    <w:rsid w:val="00BD1E62"/>
    <w:rsid w:val="00BD4136"/>
    <w:rsid w:val="00BD75C3"/>
    <w:rsid w:val="00BE43E1"/>
    <w:rsid w:val="00C067BF"/>
    <w:rsid w:val="00C24389"/>
    <w:rsid w:val="00C37495"/>
    <w:rsid w:val="00C5050B"/>
    <w:rsid w:val="00C50953"/>
    <w:rsid w:val="00C55B5F"/>
    <w:rsid w:val="00C82CC3"/>
    <w:rsid w:val="00C970BA"/>
    <w:rsid w:val="00CA4FE7"/>
    <w:rsid w:val="00CC3377"/>
    <w:rsid w:val="00CE0305"/>
    <w:rsid w:val="00CE4514"/>
    <w:rsid w:val="00D02B7C"/>
    <w:rsid w:val="00D0777E"/>
    <w:rsid w:val="00D113DA"/>
    <w:rsid w:val="00D156EC"/>
    <w:rsid w:val="00D258E5"/>
    <w:rsid w:val="00D34E1C"/>
    <w:rsid w:val="00D35DEF"/>
    <w:rsid w:val="00D50A54"/>
    <w:rsid w:val="00D622F6"/>
    <w:rsid w:val="00D750C0"/>
    <w:rsid w:val="00D85F47"/>
    <w:rsid w:val="00DD426F"/>
    <w:rsid w:val="00DE0594"/>
    <w:rsid w:val="00DE2D52"/>
    <w:rsid w:val="00DF7A5C"/>
    <w:rsid w:val="00E221CA"/>
    <w:rsid w:val="00E2590F"/>
    <w:rsid w:val="00E26A4C"/>
    <w:rsid w:val="00E27FF3"/>
    <w:rsid w:val="00E300A9"/>
    <w:rsid w:val="00E3261B"/>
    <w:rsid w:val="00E40ACB"/>
    <w:rsid w:val="00E51436"/>
    <w:rsid w:val="00E63AA6"/>
    <w:rsid w:val="00E6440C"/>
    <w:rsid w:val="00E855DB"/>
    <w:rsid w:val="00E85E94"/>
    <w:rsid w:val="00EA67B9"/>
    <w:rsid w:val="00EB3D0C"/>
    <w:rsid w:val="00EC5C67"/>
    <w:rsid w:val="00EE5699"/>
    <w:rsid w:val="00EE6B8C"/>
    <w:rsid w:val="00EF2B96"/>
    <w:rsid w:val="00EF4083"/>
    <w:rsid w:val="00F130CE"/>
    <w:rsid w:val="00F17277"/>
    <w:rsid w:val="00F2040C"/>
    <w:rsid w:val="00F30339"/>
    <w:rsid w:val="00F30B19"/>
    <w:rsid w:val="00F33445"/>
    <w:rsid w:val="00F33BA3"/>
    <w:rsid w:val="00F45B10"/>
    <w:rsid w:val="00F472E4"/>
    <w:rsid w:val="00F54033"/>
    <w:rsid w:val="00F567D7"/>
    <w:rsid w:val="00F778C6"/>
    <w:rsid w:val="00F87537"/>
    <w:rsid w:val="00FA631B"/>
    <w:rsid w:val="00FC5B76"/>
    <w:rsid w:val="00FC5E9C"/>
    <w:rsid w:val="00FE1547"/>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86450"/>
  <w15:docId w15:val="{CD155D75-8E5B-4C9C-A9DC-0C12E129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B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D6E"/>
  </w:style>
  <w:style w:type="paragraph" w:styleId="Footer">
    <w:name w:val="footer"/>
    <w:basedOn w:val="Normal"/>
    <w:link w:val="FooterChar"/>
    <w:uiPriority w:val="99"/>
    <w:unhideWhenUsed/>
    <w:rsid w:val="009B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D6E"/>
  </w:style>
  <w:style w:type="paragraph" w:styleId="ListParagraph">
    <w:name w:val="List Paragraph"/>
    <w:basedOn w:val="Normal"/>
    <w:uiPriority w:val="34"/>
    <w:qFormat/>
    <w:rsid w:val="009B2D6E"/>
    <w:pPr>
      <w:ind w:left="720"/>
      <w:contextualSpacing/>
    </w:pPr>
  </w:style>
  <w:style w:type="paragraph" w:styleId="NormalWeb">
    <w:name w:val="Normal (Web)"/>
    <w:basedOn w:val="Normal"/>
    <w:uiPriority w:val="99"/>
    <w:semiHidden/>
    <w:unhideWhenUsed/>
    <w:rsid w:val="0078263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5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28D1"/>
    <w:pPr>
      <w:spacing w:after="0" w:line="240" w:lineRule="auto"/>
    </w:pPr>
  </w:style>
  <w:style w:type="character" w:styleId="Hyperlink">
    <w:name w:val="Hyperlink"/>
    <w:basedOn w:val="DefaultParagraphFont"/>
    <w:uiPriority w:val="99"/>
    <w:unhideWhenUsed/>
    <w:rsid w:val="00FC5B76"/>
    <w:rPr>
      <w:color w:val="0563C1" w:themeColor="hyperlink"/>
      <w:u w:val="single"/>
    </w:rPr>
  </w:style>
  <w:style w:type="character" w:customStyle="1" w:styleId="UnresolvedMention1">
    <w:name w:val="Unresolved Mention1"/>
    <w:basedOn w:val="DefaultParagraphFont"/>
    <w:uiPriority w:val="99"/>
    <w:semiHidden/>
    <w:unhideWhenUsed/>
    <w:rsid w:val="00FC5B76"/>
    <w:rPr>
      <w:color w:val="605E5C"/>
      <w:shd w:val="clear" w:color="auto" w:fill="E1DFDD"/>
    </w:rPr>
  </w:style>
  <w:style w:type="character" w:styleId="CommentReference">
    <w:name w:val="annotation reference"/>
    <w:basedOn w:val="DefaultParagraphFont"/>
    <w:uiPriority w:val="99"/>
    <w:semiHidden/>
    <w:unhideWhenUsed/>
    <w:rsid w:val="00BD75C3"/>
    <w:rPr>
      <w:sz w:val="16"/>
      <w:szCs w:val="16"/>
    </w:rPr>
  </w:style>
  <w:style w:type="paragraph" w:styleId="CommentText">
    <w:name w:val="annotation text"/>
    <w:basedOn w:val="Normal"/>
    <w:link w:val="CommentTextChar"/>
    <w:uiPriority w:val="99"/>
    <w:unhideWhenUsed/>
    <w:rsid w:val="00BD75C3"/>
    <w:pPr>
      <w:spacing w:line="240" w:lineRule="auto"/>
    </w:pPr>
    <w:rPr>
      <w:sz w:val="20"/>
      <w:szCs w:val="20"/>
    </w:rPr>
  </w:style>
  <w:style w:type="character" w:customStyle="1" w:styleId="CommentTextChar">
    <w:name w:val="Comment Text Char"/>
    <w:basedOn w:val="DefaultParagraphFont"/>
    <w:link w:val="CommentText"/>
    <w:uiPriority w:val="99"/>
    <w:rsid w:val="00BD75C3"/>
    <w:rPr>
      <w:sz w:val="20"/>
      <w:szCs w:val="20"/>
    </w:rPr>
  </w:style>
  <w:style w:type="paragraph" w:styleId="CommentSubject">
    <w:name w:val="annotation subject"/>
    <w:basedOn w:val="CommentText"/>
    <w:next w:val="CommentText"/>
    <w:link w:val="CommentSubjectChar"/>
    <w:uiPriority w:val="99"/>
    <w:semiHidden/>
    <w:unhideWhenUsed/>
    <w:rsid w:val="00BD75C3"/>
    <w:rPr>
      <w:b/>
      <w:bCs/>
    </w:rPr>
  </w:style>
  <w:style w:type="character" w:customStyle="1" w:styleId="CommentSubjectChar">
    <w:name w:val="Comment Subject Char"/>
    <w:basedOn w:val="CommentTextChar"/>
    <w:link w:val="CommentSubject"/>
    <w:uiPriority w:val="99"/>
    <w:semiHidden/>
    <w:rsid w:val="00BD75C3"/>
    <w:rPr>
      <w:b/>
      <w:bCs/>
      <w:sz w:val="20"/>
      <w:szCs w:val="20"/>
    </w:rPr>
  </w:style>
  <w:style w:type="paragraph" w:customStyle="1" w:styleId="paragraph">
    <w:name w:val="paragraph"/>
    <w:basedOn w:val="Normal"/>
    <w:rsid w:val="00E26A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6A4C"/>
  </w:style>
  <w:style w:type="character" w:customStyle="1" w:styleId="eop">
    <w:name w:val="eop"/>
    <w:basedOn w:val="DefaultParagraphFont"/>
    <w:rsid w:val="00E26A4C"/>
  </w:style>
  <w:style w:type="character" w:customStyle="1" w:styleId="superscript">
    <w:name w:val="superscript"/>
    <w:basedOn w:val="DefaultParagraphFont"/>
    <w:rsid w:val="00E26A4C"/>
  </w:style>
  <w:style w:type="paragraph" w:styleId="BalloonText">
    <w:name w:val="Balloon Text"/>
    <w:basedOn w:val="Normal"/>
    <w:link w:val="BalloonTextChar"/>
    <w:uiPriority w:val="99"/>
    <w:semiHidden/>
    <w:unhideWhenUsed/>
    <w:rsid w:val="0022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ECC"/>
    <w:rPr>
      <w:rFonts w:ascii="Segoe UI" w:hAnsi="Segoe UI" w:cs="Segoe UI"/>
      <w:sz w:val="18"/>
      <w:szCs w:val="18"/>
    </w:rPr>
  </w:style>
  <w:style w:type="character" w:styleId="FollowedHyperlink">
    <w:name w:val="FollowedHyperlink"/>
    <w:basedOn w:val="DefaultParagraphFont"/>
    <w:uiPriority w:val="99"/>
    <w:semiHidden/>
    <w:unhideWhenUsed/>
    <w:rsid w:val="00E855DB"/>
    <w:rPr>
      <w:color w:val="954F72" w:themeColor="followedHyperlink"/>
      <w:u w:val="single"/>
    </w:rPr>
  </w:style>
  <w:style w:type="paragraph" w:styleId="FootnoteText">
    <w:name w:val="footnote text"/>
    <w:basedOn w:val="Normal"/>
    <w:link w:val="FootnoteTextChar"/>
    <w:uiPriority w:val="99"/>
    <w:semiHidden/>
    <w:unhideWhenUsed/>
    <w:rsid w:val="00D50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A54"/>
    <w:rPr>
      <w:sz w:val="20"/>
      <w:szCs w:val="20"/>
    </w:rPr>
  </w:style>
  <w:style w:type="character" w:styleId="FootnoteReference">
    <w:name w:val="footnote reference"/>
    <w:basedOn w:val="DefaultParagraphFont"/>
    <w:uiPriority w:val="99"/>
    <w:semiHidden/>
    <w:unhideWhenUsed/>
    <w:rsid w:val="00D50A54"/>
    <w:rPr>
      <w:vertAlign w:val="superscript"/>
    </w:rPr>
  </w:style>
  <w:style w:type="character" w:styleId="UnresolvedMention">
    <w:name w:val="Unresolved Mention"/>
    <w:basedOn w:val="DefaultParagraphFont"/>
    <w:uiPriority w:val="99"/>
    <w:semiHidden/>
    <w:unhideWhenUsed/>
    <w:rsid w:val="004E2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1597">
      <w:bodyDiv w:val="1"/>
      <w:marLeft w:val="0"/>
      <w:marRight w:val="0"/>
      <w:marTop w:val="0"/>
      <w:marBottom w:val="0"/>
      <w:divBdr>
        <w:top w:val="none" w:sz="0" w:space="0" w:color="auto"/>
        <w:left w:val="none" w:sz="0" w:space="0" w:color="auto"/>
        <w:bottom w:val="none" w:sz="0" w:space="0" w:color="auto"/>
        <w:right w:val="none" w:sz="0" w:space="0" w:color="auto"/>
      </w:divBdr>
      <w:divsChild>
        <w:div w:id="1057511389">
          <w:marLeft w:val="446"/>
          <w:marRight w:val="0"/>
          <w:marTop w:val="100"/>
          <w:marBottom w:val="100"/>
          <w:divBdr>
            <w:top w:val="none" w:sz="0" w:space="0" w:color="auto"/>
            <w:left w:val="none" w:sz="0" w:space="0" w:color="auto"/>
            <w:bottom w:val="none" w:sz="0" w:space="0" w:color="auto"/>
            <w:right w:val="none" w:sz="0" w:space="0" w:color="auto"/>
          </w:divBdr>
        </w:div>
        <w:div w:id="184095142">
          <w:marLeft w:val="446"/>
          <w:marRight w:val="0"/>
          <w:marTop w:val="100"/>
          <w:marBottom w:val="100"/>
          <w:divBdr>
            <w:top w:val="none" w:sz="0" w:space="0" w:color="auto"/>
            <w:left w:val="none" w:sz="0" w:space="0" w:color="auto"/>
            <w:bottom w:val="none" w:sz="0" w:space="0" w:color="auto"/>
            <w:right w:val="none" w:sz="0" w:space="0" w:color="auto"/>
          </w:divBdr>
        </w:div>
        <w:div w:id="1660422773">
          <w:marLeft w:val="1080"/>
          <w:marRight w:val="0"/>
          <w:marTop w:val="100"/>
          <w:marBottom w:val="100"/>
          <w:divBdr>
            <w:top w:val="none" w:sz="0" w:space="0" w:color="auto"/>
            <w:left w:val="none" w:sz="0" w:space="0" w:color="auto"/>
            <w:bottom w:val="none" w:sz="0" w:space="0" w:color="auto"/>
            <w:right w:val="none" w:sz="0" w:space="0" w:color="auto"/>
          </w:divBdr>
        </w:div>
        <w:div w:id="1174031970">
          <w:marLeft w:val="1080"/>
          <w:marRight w:val="0"/>
          <w:marTop w:val="100"/>
          <w:marBottom w:val="100"/>
          <w:divBdr>
            <w:top w:val="none" w:sz="0" w:space="0" w:color="auto"/>
            <w:left w:val="none" w:sz="0" w:space="0" w:color="auto"/>
            <w:bottom w:val="none" w:sz="0" w:space="0" w:color="auto"/>
            <w:right w:val="none" w:sz="0" w:space="0" w:color="auto"/>
          </w:divBdr>
        </w:div>
        <w:div w:id="2034106513">
          <w:marLeft w:val="446"/>
          <w:marRight w:val="0"/>
          <w:marTop w:val="100"/>
          <w:marBottom w:val="100"/>
          <w:divBdr>
            <w:top w:val="none" w:sz="0" w:space="0" w:color="auto"/>
            <w:left w:val="none" w:sz="0" w:space="0" w:color="auto"/>
            <w:bottom w:val="none" w:sz="0" w:space="0" w:color="auto"/>
            <w:right w:val="none" w:sz="0" w:space="0" w:color="auto"/>
          </w:divBdr>
        </w:div>
        <w:div w:id="728528699">
          <w:marLeft w:val="446"/>
          <w:marRight w:val="0"/>
          <w:marTop w:val="100"/>
          <w:marBottom w:val="100"/>
          <w:divBdr>
            <w:top w:val="none" w:sz="0" w:space="0" w:color="auto"/>
            <w:left w:val="none" w:sz="0" w:space="0" w:color="auto"/>
            <w:bottom w:val="none" w:sz="0" w:space="0" w:color="auto"/>
            <w:right w:val="none" w:sz="0" w:space="0" w:color="auto"/>
          </w:divBdr>
        </w:div>
      </w:divsChild>
    </w:div>
    <w:div w:id="1613897816">
      <w:bodyDiv w:val="1"/>
      <w:marLeft w:val="0"/>
      <w:marRight w:val="0"/>
      <w:marTop w:val="0"/>
      <w:marBottom w:val="0"/>
      <w:divBdr>
        <w:top w:val="none" w:sz="0" w:space="0" w:color="auto"/>
        <w:left w:val="none" w:sz="0" w:space="0" w:color="auto"/>
        <w:bottom w:val="none" w:sz="0" w:space="0" w:color="auto"/>
        <w:right w:val="none" w:sz="0" w:space="0" w:color="auto"/>
      </w:divBdr>
    </w:div>
    <w:div w:id="1625429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2.unhcr.org/en/documents/details/10295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pp.powerbi.com/view?r=eyJrIjoiNDBlOTM2MjgtZmM5ZS00MTYwLWE3YjUtZDI5ZGIyYmE3MmE5IiwidCI6ImU1YzM3OTgxLTY2NjQtNDEzNC04YTBjLTY1NDNkMmFmODBiZSIsImMiOjh9" TargetMode="External"/><Relationship Id="rId17" Type="http://schemas.openxmlformats.org/officeDocument/2006/relationships/hyperlink" Target="https://note.unhcr.info/" TargetMode="External"/><Relationship Id="rId2" Type="http://schemas.openxmlformats.org/officeDocument/2006/relationships/customXml" Target="../customXml/item2.xml"/><Relationship Id="rId16" Type="http://schemas.openxmlformats.org/officeDocument/2006/relationships/hyperlink" Target="https://nordvpn.com/blog/how-to-password-protect-a-zip-fi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ta2.unhcr.org/en/documents/details/102957"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2.unhcr.org/en/documents/details/1042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855ca-ef53-4b98-a002-9a015d90a4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3" ma:contentTypeDescription="Create a new document." ma:contentTypeScope="" ma:versionID="5cc0e6ddd4ae0a345372a8384baaf07a">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8480bb0cec2d6337bd5e371a1ceb951e"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af+pSAbwd23HauCI17+GWQxQQ==">CgMxLjA4AHIhMUV0bGRINXVGcU1raGVwblQ5M0Q1eDgzZDhhazk5ZU9v</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CAC5-D2E9-4194-A886-2236C87984C2}">
  <ds:schemaRefs>
    <ds:schemaRef ds:uri="http://schemas.microsoft.com/office/2006/metadata/properties"/>
    <ds:schemaRef ds:uri="http://schemas.microsoft.com/office/infopath/2007/PartnerControls"/>
    <ds:schemaRef ds:uri="67c855ca-ef53-4b98-a002-9a015d90a48f"/>
  </ds:schemaRefs>
</ds:datastoreItem>
</file>

<file path=customXml/itemProps2.xml><?xml version="1.0" encoding="utf-8"?>
<ds:datastoreItem xmlns:ds="http://schemas.openxmlformats.org/officeDocument/2006/customXml" ds:itemID="{2CBC2E6F-97FE-4A6A-B9D6-864F0C6D835D}">
  <ds:schemaRefs>
    <ds:schemaRef ds:uri="http://schemas.microsoft.com/sharepoint/v3/contenttype/forms"/>
  </ds:schemaRefs>
</ds:datastoreItem>
</file>

<file path=customXml/itemProps3.xml><?xml version="1.0" encoding="utf-8"?>
<ds:datastoreItem xmlns:ds="http://schemas.openxmlformats.org/officeDocument/2006/customXml" ds:itemID="{DB1612CA-5714-4C39-846B-72563730D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A3EB4E0-8EC8-45F7-8B67-9AAACE8E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2064</Words>
  <Characters>11767</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Ozugergin</dc:creator>
  <cp:lastModifiedBy>Dilara Kaya</cp:lastModifiedBy>
  <cp:revision>11</cp:revision>
  <dcterms:created xsi:type="dcterms:W3CDTF">2023-12-19T06:42:00Z</dcterms:created>
  <dcterms:modified xsi:type="dcterms:W3CDTF">2024-03-12T12:14:00Z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0x010100264BE782E5290C4ABD71E29329E77AAD</vt:lpwstr>
  </property>
</Properties>
</file>