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51D95" w:rsidRPr="003E3983" w:rsidTr="00151D95">
        <w:tc>
          <w:tcPr>
            <w:tcW w:w="8755" w:type="dxa"/>
            <w:shd w:val="clear" w:color="auto" w:fill="auto"/>
            <w:vAlign w:val="center"/>
          </w:tcPr>
          <w:p w:rsidR="00151D95" w:rsidRPr="003E3983" w:rsidRDefault="005043FE" w:rsidP="00151D95">
            <w:pPr>
              <w:jc w:val="center"/>
              <w:rPr>
                <w:rFonts w:ascii="Franklin Gothic Medium" w:hAnsi="Franklin Gothic Medium" w:cs="Tahoma"/>
                <w:b/>
                <w:color w:val="4083C9"/>
                <w:kern w:val="32"/>
                <w:sz w:val="36"/>
                <w:szCs w:val="36"/>
                <w:lang w:val="sk-SK"/>
              </w:rPr>
            </w:pPr>
            <w:r>
              <w:rPr>
                <w:rFonts w:ascii="Franklin Gothic Medium" w:hAnsi="Franklin Gothic Medium" w:cs="Tahoma"/>
                <w:b/>
                <w:color w:val="4083C9"/>
                <w:kern w:val="32"/>
                <w:sz w:val="36"/>
                <w:szCs w:val="36"/>
                <w:lang w:val="sk-SK"/>
              </w:rPr>
              <w:t xml:space="preserve">Cash / </w:t>
            </w:r>
            <w:r w:rsidR="00151D95">
              <w:rPr>
                <w:rFonts w:ascii="Franklin Gothic Medium" w:hAnsi="Franklin Gothic Medium" w:cs="Tahoma"/>
                <w:b/>
                <w:color w:val="4083C9"/>
                <w:kern w:val="32"/>
                <w:sz w:val="36"/>
                <w:szCs w:val="36"/>
                <w:lang w:val="sk-SK"/>
              </w:rPr>
              <w:t>NFI Working Group</w:t>
            </w:r>
          </w:p>
        </w:tc>
      </w:tr>
      <w:tr w:rsidR="00151D95" w:rsidRPr="003E3983" w:rsidTr="00151D95">
        <w:tc>
          <w:tcPr>
            <w:tcW w:w="8755" w:type="dxa"/>
            <w:shd w:val="clear" w:color="auto" w:fill="auto"/>
            <w:vAlign w:val="center"/>
          </w:tcPr>
          <w:p w:rsidR="00D9114D" w:rsidRDefault="00151D95" w:rsidP="00A2050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</w:pPr>
            <w:r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>Standard winterisation NFIs</w:t>
            </w:r>
            <w:r w:rsidR="001C13BA"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 xml:space="preserve">, for </w:t>
            </w:r>
            <w:r w:rsidR="00D9114D"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>thermal comfort</w:t>
            </w:r>
          </w:p>
          <w:p w:rsidR="00151D95" w:rsidRPr="00A20509" w:rsidRDefault="00D9114D" w:rsidP="00A2050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</w:pPr>
            <w:r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>W</w:t>
            </w:r>
            <w:r w:rsidR="001C13BA"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>inter 2013</w:t>
            </w:r>
            <w:r w:rsidR="00CB1DE8">
              <w:rPr>
                <w:rFonts w:ascii="Franklin Gothic Medium" w:hAnsi="Franklin Gothic Medium" w:cs="Tahoma"/>
                <w:b/>
                <w:i w:val="0"/>
                <w:iCs w:val="0"/>
                <w:color w:val="4083C9"/>
                <w:kern w:val="32"/>
                <w:sz w:val="28"/>
                <w:szCs w:val="28"/>
                <w:lang w:val="sk-SK"/>
              </w:rPr>
              <w:t>/14</w:t>
            </w:r>
          </w:p>
        </w:tc>
      </w:tr>
    </w:tbl>
    <w:p w:rsidR="00AE4612" w:rsidRDefault="00AE4612" w:rsidP="00AE461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:rsidR="005043FE" w:rsidRPr="0053039F" w:rsidRDefault="00AE4612" w:rsidP="00AE461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0053039F">
        <w:rPr>
          <w:rFonts w:asciiTheme="majorHAnsi" w:eastAsiaTheme="majorEastAsia" w:hAnsiTheme="majorHAnsi" w:cstheme="majorBidi"/>
          <w:color w:val="000000" w:themeColor="text1"/>
          <w:szCs w:val="22"/>
        </w:rPr>
        <w:t>This is based on a family of five</w:t>
      </w:r>
      <w:r w:rsidR="0023096D" w:rsidRPr="0053039F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receiving</w:t>
      </w:r>
      <w:r w:rsidR="005043FE" w:rsidRPr="0053039F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support for an estimated four-month period over winter 2013/14. </w:t>
      </w:r>
    </w:p>
    <w:p w:rsidR="00AE4612" w:rsidRPr="00AE4612" w:rsidRDefault="00AE4612" w:rsidP="00AE461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tbl>
      <w:tblPr>
        <w:tblStyle w:val="MediumList2-Accent1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850"/>
        <w:gridCol w:w="852"/>
        <w:gridCol w:w="4471"/>
        <w:gridCol w:w="1300"/>
      </w:tblGrid>
      <w:tr w:rsidR="0053039F" w:rsidRPr="0053039F" w:rsidTr="0029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 w:val="20"/>
                <w:szCs w:val="22"/>
              </w:rPr>
            </w:pPr>
            <w:r w:rsidRPr="0053039F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480" w:type="pct"/>
          </w:tcPr>
          <w:p w:rsidR="00151D95" w:rsidRPr="0053039F" w:rsidRDefault="00151D95" w:rsidP="004A1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53039F">
              <w:rPr>
                <w:b/>
                <w:sz w:val="20"/>
                <w:szCs w:val="22"/>
              </w:rPr>
              <w:t>Camp</w:t>
            </w:r>
          </w:p>
        </w:tc>
        <w:tc>
          <w:tcPr>
            <w:tcW w:w="481" w:type="pct"/>
          </w:tcPr>
          <w:p w:rsidR="00151D95" w:rsidRPr="0053039F" w:rsidRDefault="00151D95" w:rsidP="004A1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53039F">
              <w:rPr>
                <w:b/>
                <w:sz w:val="20"/>
                <w:szCs w:val="22"/>
              </w:rPr>
              <w:t>Non-camp</w:t>
            </w:r>
          </w:p>
        </w:tc>
        <w:tc>
          <w:tcPr>
            <w:tcW w:w="2524" w:type="pct"/>
          </w:tcPr>
          <w:p w:rsidR="00151D95" w:rsidRPr="0053039F" w:rsidRDefault="00151D95" w:rsidP="004A1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53039F">
              <w:rPr>
                <w:b/>
                <w:sz w:val="20"/>
                <w:szCs w:val="22"/>
              </w:rPr>
              <w:t>Details</w:t>
            </w:r>
          </w:p>
        </w:tc>
        <w:tc>
          <w:tcPr>
            <w:tcW w:w="733" w:type="pct"/>
          </w:tcPr>
          <w:p w:rsidR="00151D95" w:rsidRPr="0053039F" w:rsidRDefault="00151D95" w:rsidP="004A1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2"/>
              </w:rPr>
            </w:pPr>
            <w:r w:rsidRPr="0053039F">
              <w:rPr>
                <w:b/>
                <w:sz w:val="20"/>
                <w:szCs w:val="22"/>
              </w:rPr>
              <w:t>Cost equivalent (JD)</w:t>
            </w:r>
          </w:p>
        </w:tc>
      </w:tr>
      <w:tr w:rsidR="0053039F" w:rsidRPr="0053039F" w:rsidTr="0029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Heater</w:t>
            </w:r>
          </w:p>
        </w:tc>
        <w:tc>
          <w:tcPr>
            <w:tcW w:w="480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2524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See separate specifications document, particularly for heaters for prefab units</w:t>
            </w:r>
          </w:p>
        </w:tc>
        <w:tc>
          <w:tcPr>
            <w:tcW w:w="733" w:type="pct"/>
          </w:tcPr>
          <w:p w:rsidR="00151D95" w:rsidRPr="0053039F" w:rsidRDefault="002210B0" w:rsidP="0023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65</w:t>
            </w:r>
            <w:r w:rsidR="009F2286" w:rsidRPr="0053039F">
              <w:rPr>
                <w:szCs w:val="22"/>
              </w:rPr>
              <w:t xml:space="preserve"> </w:t>
            </w:r>
          </w:p>
        </w:tc>
      </w:tr>
      <w:tr w:rsidR="0053039F" w:rsidRPr="0053039F" w:rsidTr="0029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Gas cylinder</w:t>
            </w:r>
          </w:p>
        </w:tc>
        <w:tc>
          <w:tcPr>
            <w:tcW w:w="480" w:type="pct"/>
          </w:tcPr>
          <w:p w:rsidR="00151D95" w:rsidRPr="0053039F" w:rsidRDefault="00151D95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151D95" w:rsidRPr="0053039F" w:rsidRDefault="00151D95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2524" w:type="pct"/>
          </w:tcPr>
          <w:p w:rsidR="00151D95" w:rsidRPr="0053039F" w:rsidRDefault="0023096D" w:rsidP="0023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Gas is recommended as the fuel source for a combination of safety, logistics and cost reasons. Kerosene heaters are not recommended.</w:t>
            </w:r>
          </w:p>
        </w:tc>
        <w:tc>
          <w:tcPr>
            <w:tcW w:w="733" w:type="pct"/>
          </w:tcPr>
          <w:p w:rsidR="00151D95" w:rsidRPr="0053039F" w:rsidRDefault="002210B0" w:rsidP="0023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53039F" w:rsidRPr="0053039F" w:rsidTr="0029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Fuel refill</w:t>
            </w:r>
          </w:p>
        </w:tc>
        <w:tc>
          <w:tcPr>
            <w:tcW w:w="480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2524" w:type="pct"/>
          </w:tcPr>
          <w:p w:rsidR="001C13BA" w:rsidRPr="0053039F" w:rsidRDefault="0023096D" w:rsidP="0022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 xml:space="preserve">(Based on 4 months heating, </w:t>
            </w:r>
            <w:r w:rsidR="0053039F" w:rsidRPr="0053039F">
              <w:rPr>
                <w:szCs w:val="22"/>
              </w:rPr>
              <w:t xml:space="preserve">approximately </w:t>
            </w:r>
            <w:r w:rsidRPr="0053039F">
              <w:rPr>
                <w:szCs w:val="22"/>
              </w:rPr>
              <w:t xml:space="preserve">one gas </w:t>
            </w:r>
            <w:r w:rsidR="002210B0">
              <w:rPr>
                <w:szCs w:val="22"/>
              </w:rPr>
              <w:t>refill</w:t>
            </w:r>
            <w:r w:rsidRPr="0053039F">
              <w:rPr>
                <w:szCs w:val="22"/>
              </w:rPr>
              <w:t xml:space="preserve"> per </w:t>
            </w:r>
            <w:r w:rsidR="002210B0">
              <w:rPr>
                <w:szCs w:val="22"/>
              </w:rPr>
              <w:t>ten days</w:t>
            </w:r>
            <w:r w:rsidR="0053039F" w:rsidRPr="0053039F">
              <w:rPr>
                <w:szCs w:val="22"/>
              </w:rPr>
              <w:t xml:space="preserve">. </w:t>
            </w:r>
            <w:r w:rsidR="002210B0">
              <w:rPr>
                <w:szCs w:val="22"/>
              </w:rPr>
              <w:t xml:space="preserve">Logistics in camp situations </w:t>
            </w:r>
            <w:r w:rsidR="0053039F" w:rsidRPr="0053039F">
              <w:rPr>
                <w:szCs w:val="22"/>
              </w:rPr>
              <w:t xml:space="preserve">may </w:t>
            </w:r>
            <w:r w:rsidR="002210B0">
              <w:rPr>
                <w:szCs w:val="22"/>
              </w:rPr>
              <w:t xml:space="preserve">mean this frequency is not </w:t>
            </w:r>
            <w:r w:rsidR="0053039F" w:rsidRPr="0053039F">
              <w:rPr>
                <w:szCs w:val="22"/>
              </w:rPr>
              <w:t>feasible in camp populations, and it is expected they get greater support, so lowering this frequency can be considered.</w:t>
            </w:r>
            <w:r w:rsidRPr="0053039F">
              <w:rPr>
                <w:szCs w:val="22"/>
              </w:rPr>
              <w:t>)</w:t>
            </w:r>
          </w:p>
        </w:tc>
        <w:tc>
          <w:tcPr>
            <w:tcW w:w="733" w:type="pct"/>
          </w:tcPr>
          <w:p w:rsidR="0023096D" w:rsidRPr="0053039F" w:rsidRDefault="002210B0" w:rsidP="0023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294C6D">
              <w:rPr>
                <w:szCs w:val="22"/>
              </w:rPr>
              <w:t>6</w:t>
            </w:r>
          </w:p>
        </w:tc>
      </w:tr>
      <w:tr w:rsidR="0053039F" w:rsidRPr="0053039F" w:rsidTr="0029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Blankets</w:t>
            </w:r>
          </w:p>
        </w:tc>
        <w:tc>
          <w:tcPr>
            <w:tcW w:w="480" w:type="pct"/>
          </w:tcPr>
          <w:p w:rsidR="00151D95" w:rsidRPr="0053039F" w:rsidRDefault="00151D95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151D95" w:rsidRPr="0053039F" w:rsidRDefault="00151D95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2524" w:type="pct"/>
          </w:tcPr>
          <w:p w:rsidR="00151D95" w:rsidRDefault="00151D95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Two medium-thermal or one high-thermal per person</w:t>
            </w:r>
            <w:r w:rsidR="002210B0">
              <w:rPr>
                <w:szCs w:val="22"/>
              </w:rPr>
              <w:t xml:space="preserve">. </w:t>
            </w:r>
          </w:p>
          <w:p w:rsidR="002210B0" w:rsidRPr="0053039F" w:rsidRDefault="002210B0" w:rsidP="00D3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People with reduced mobility should get an extra blanket</w:t>
            </w:r>
            <w:r w:rsidR="006C396B">
              <w:rPr>
                <w:szCs w:val="22"/>
              </w:rPr>
              <w:t>, already included in the cash equivalent</w:t>
            </w:r>
            <w:r w:rsidR="00D3793C">
              <w:rPr>
                <w:szCs w:val="22"/>
              </w:rPr>
              <w:t>.</w:t>
            </w:r>
          </w:p>
        </w:tc>
        <w:tc>
          <w:tcPr>
            <w:tcW w:w="733" w:type="pct"/>
          </w:tcPr>
          <w:p w:rsidR="00151D95" w:rsidRPr="0053039F" w:rsidRDefault="00D3793C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53039F" w:rsidRPr="0053039F" w:rsidTr="0029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151D95" w:rsidRPr="0053039F" w:rsidRDefault="00151D95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Mattresses</w:t>
            </w:r>
          </w:p>
        </w:tc>
        <w:tc>
          <w:tcPr>
            <w:tcW w:w="480" w:type="pct"/>
          </w:tcPr>
          <w:p w:rsidR="00151D95" w:rsidRPr="0053039F" w:rsidRDefault="00151D95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151D95" w:rsidRPr="0053039F" w:rsidRDefault="0023096D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2524" w:type="pct"/>
          </w:tcPr>
          <w:p w:rsidR="00151D95" w:rsidRDefault="0053039F" w:rsidP="00530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(Inside camps, mattresses distributed before 1st December 2012 should be replaced. Otherwise, it is expected that refugees received suitable mattresses on arrival.)</w:t>
            </w:r>
          </w:p>
          <w:p w:rsidR="002210B0" w:rsidRPr="0053039F" w:rsidRDefault="002210B0" w:rsidP="00D3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People with reduced mobility should get an extra mattress</w:t>
            </w:r>
            <w:r w:rsidR="006C396B">
              <w:rPr>
                <w:szCs w:val="22"/>
              </w:rPr>
              <w:t>, already included in the cash equivalent</w:t>
            </w:r>
            <w:r w:rsidR="00D3793C">
              <w:rPr>
                <w:szCs w:val="22"/>
              </w:rPr>
              <w:t>.</w:t>
            </w:r>
          </w:p>
        </w:tc>
        <w:tc>
          <w:tcPr>
            <w:tcW w:w="733" w:type="pct"/>
          </w:tcPr>
          <w:p w:rsidR="00151D95" w:rsidRPr="0053039F" w:rsidRDefault="00D3793C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</w:tr>
      <w:tr w:rsidR="00294C6D" w:rsidRPr="0053039F" w:rsidTr="0029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294C6D" w:rsidRPr="0053039F" w:rsidRDefault="00294C6D" w:rsidP="004A181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Solar lamp</w:t>
            </w:r>
          </w:p>
        </w:tc>
        <w:tc>
          <w:tcPr>
            <w:tcW w:w="961" w:type="pct"/>
            <w:gridSpan w:val="2"/>
          </w:tcPr>
          <w:p w:rsidR="00294C6D" w:rsidRPr="0053039F" w:rsidRDefault="00294C6D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See notes</w:t>
            </w:r>
          </w:p>
        </w:tc>
        <w:tc>
          <w:tcPr>
            <w:tcW w:w="2524" w:type="pct"/>
          </w:tcPr>
          <w:p w:rsidR="00294C6D" w:rsidRPr="0053039F" w:rsidRDefault="00294C6D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Particularly for those in informal tented settlements without access to electricity</w:t>
            </w:r>
          </w:p>
        </w:tc>
        <w:tc>
          <w:tcPr>
            <w:tcW w:w="733" w:type="pct"/>
          </w:tcPr>
          <w:p w:rsidR="00294C6D" w:rsidRPr="0053039F" w:rsidRDefault="00294C6D" w:rsidP="0015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53039F" w:rsidRPr="0053039F" w:rsidTr="0053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:rsidR="00CB1DE8" w:rsidRPr="0053039F" w:rsidRDefault="00CB1DE8" w:rsidP="004A1811">
            <w:pPr>
              <w:jc w:val="both"/>
              <w:rPr>
                <w:b/>
                <w:szCs w:val="22"/>
              </w:rPr>
            </w:pPr>
            <w:r w:rsidRPr="0053039F">
              <w:rPr>
                <w:b/>
                <w:szCs w:val="22"/>
              </w:rPr>
              <w:t>Clothes</w:t>
            </w:r>
          </w:p>
        </w:tc>
        <w:tc>
          <w:tcPr>
            <w:tcW w:w="480" w:type="pct"/>
          </w:tcPr>
          <w:p w:rsidR="00CB1DE8" w:rsidRPr="0053039F" w:rsidRDefault="00CB1DE8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Yes</w:t>
            </w:r>
          </w:p>
        </w:tc>
        <w:tc>
          <w:tcPr>
            <w:tcW w:w="481" w:type="pct"/>
          </w:tcPr>
          <w:p w:rsidR="00CB1DE8" w:rsidRPr="0053039F" w:rsidRDefault="00CB1DE8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>No</w:t>
            </w:r>
          </w:p>
        </w:tc>
        <w:tc>
          <w:tcPr>
            <w:tcW w:w="3258" w:type="pct"/>
            <w:gridSpan w:val="2"/>
          </w:tcPr>
          <w:p w:rsidR="00CB1DE8" w:rsidRPr="0053039F" w:rsidRDefault="00CB1DE8" w:rsidP="0015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3039F">
              <w:rPr>
                <w:szCs w:val="22"/>
              </w:rPr>
              <w:t xml:space="preserve">For agencies wanting to </w:t>
            </w:r>
            <w:r w:rsidR="00530305" w:rsidRPr="0053039F">
              <w:rPr>
                <w:szCs w:val="22"/>
              </w:rPr>
              <w:t>provide</w:t>
            </w:r>
            <w:bookmarkStart w:id="0" w:name="_GoBack"/>
            <w:bookmarkEnd w:id="0"/>
            <w:r w:rsidRPr="0053039F">
              <w:rPr>
                <w:szCs w:val="22"/>
              </w:rPr>
              <w:t xml:space="preserve"> winter clothing to those outside of camps, the strong recommendation is of a one-off cash supplement of 70JD. See the separate NFI standardisation list for suggestions as to what to provide. </w:t>
            </w:r>
          </w:p>
        </w:tc>
      </w:tr>
    </w:tbl>
    <w:p w:rsidR="00151D95" w:rsidRDefault="00151D95" w:rsidP="004A1811">
      <w:pPr>
        <w:jc w:val="both"/>
        <w:rPr>
          <w:b/>
          <w:sz w:val="22"/>
          <w:szCs w:val="22"/>
        </w:rPr>
      </w:pPr>
    </w:p>
    <w:p w:rsidR="0023096D" w:rsidRPr="0053039F" w:rsidRDefault="0023096D" w:rsidP="005043FE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0053039F">
        <w:rPr>
          <w:rFonts w:asciiTheme="majorHAnsi" w:eastAsiaTheme="majorEastAsia" w:hAnsiTheme="majorHAnsi" w:cstheme="majorBidi"/>
          <w:color w:val="000000" w:themeColor="text1"/>
          <w:szCs w:val="22"/>
        </w:rPr>
        <w:t>Based on the above,</w:t>
      </w:r>
      <w:r w:rsidR="005043FE" w:rsidRPr="0053039F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the Cash WG recommends two possible assistance types: </w:t>
      </w:r>
    </w:p>
    <w:p w:rsidR="005043FE" w:rsidRPr="0053039F" w:rsidRDefault="005043FE" w:rsidP="005043FE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Cs w:val="22"/>
        </w:rPr>
      </w:pPr>
    </w:p>
    <w:p w:rsidR="005043FE" w:rsidRPr="0053039F" w:rsidRDefault="005043FE" w:rsidP="005043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20"/>
          <w:szCs w:val="22"/>
        </w:rPr>
      </w:pPr>
      <w:r w:rsidRPr="0053039F">
        <w:rPr>
          <w:rFonts w:asciiTheme="majorHAnsi" w:eastAsiaTheme="majorEastAsia" w:hAnsiTheme="majorHAnsi" w:cstheme="majorBidi"/>
          <w:color w:val="000000" w:themeColor="text1"/>
          <w:sz w:val="20"/>
          <w:szCs w:val="22"/>
        </w:rPr>
        <w:t xml:space="preserve">For registered refugees receiving regular cash assistance: </w:t>
      </w:r>
    </w:p>
    <w:p w:rsidR="005043FE" w:rsidRPr="0053039F" w:rsidRDefault="005043FE" w:rsidP="005043FE">
      <w:pPr>
        <w:pStyle w:val="ListParagraph"/>
        <w:autoSpaceDE w:val="0"/>
        <w:autoSpaceDN w:val="0"/>
        <w:adjustRightInd w:val="0"/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</w:pPr>
      <w:proofErr w:type="gramStart"/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>A winter supplement of 70 JD monthly, for four months, totalling 280 JD.</w:t>
      </w:r>
      <w:proofErr w:type="gramEnd"/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 xml:space="preserve"> (This would be intended to cover fuel costs for heating, but in part at least may be used to contribute towards rent.) </w:t>
      </w:r>
    </w:p>
    <w:p w:rsidR="005043FE" w:rsidRPr="0053039F" w:rsidRDefault="005043FE" w:rsidP="005043FE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18"/>
          <w:szCs w:val="22"/>
        </w:rPr>
      </w:pPr>
    </w:p>
    <w:p w:rsidR="005043FE" w:rsidRPr="0053039F" w:rsidRDefault="005043FE" w:rsidP="005043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20"/>
          <w:szCs w:val="22"/>
        </w:rPr>
      </w:pPr>
      <w:r w:rsidRPr="0053039F">
        <w:rPr>
          <w:rFonts w:asciiTheme="majorHAnsi" w:eastAsiaTheme="majorEastAsia" w:hAnsiTheme="majorHAnsi" w:cstheme="majorBidi"/>
          <w:color w:val="000000" w:themeColor="text1"/>
          <w:sz w:val="20"/>
          <w:szCs w:val="22"/>
        </w:rPr>
        <w:t xml:space="preserve">For vulnerable Syrians who are unregistered or awaiting registration: </w:t>
      </w:r>
    </w:p>
    <w:p w:rsidR="005043FE" w:rsidRPr="0053039F" w:rsidRDefault="005043FE" w:rsidP="005043FE">
      <w:pPr>
        <w:pStyle w:val="ListParagraph"/>
        <w:autoSpaceDE w:val="0"/>
        <w:autoSpaceDN w:val="0"/>
        <w:adjustRightInd w:val="0"/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</w:pPr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>A more complete package, matching the NFI item list above</w:t>
      </w:r>
      <w:proofErr w:type="gramStart"/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>, totalling</w:t>
      </w:r>
      <w:proofErr w:type="gramEnd"/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 xml:space="preserve"> 400 JD. This is intended to be a one-off cash supplement</w:t>
      </w:r>
      <w:r w:rsidR="00294C6D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 xml:space="preserve"> to cover the entire winter</w:t>
      </w:r>
      <w:r w:rsidRPr="0053039F">
        <w:rPr>
          <w:rFonts w:asciiTheme="majorHAnsi" w:eastAsiaTheme="majorEastAsia" w:hAnsiTheme="majorHAnsi" w:cstheme="majorBidi"/>
          <w:i w:val="0"/>
          <w:color w:val="000000" w:themeColor="text1"/>
          <w:sz w:val="20"/>
          <w:szCs w:val="22"/>
        </w:rPr>
        <w:t xml:space="preserve">. </w:t>
      </w:r>
    </w:p>
    <w:p w:rsidR="00AE4612" w:rsidRPr="005043FE" w:rsidRDefault="00AE4612" w:rsidP="005043FE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5043FE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</w:p>
    <w:sectPr w:rsidR="00AE4612" w:rsidRPr="005043FE" w:rsidSect="00531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B4" w:rsidRDefault="00A743B4" w:rsidP="005A505B">
      <w:r>
        <w:separator/>
      </w:r>
    </w:p>
  </w:endnote>
  <w:endnote w:type="continuationSeparator" w:id="0">
    <w:p w:rsidR="00A743B4" w:rsidRDefault="00A743B4" w:rsidP="005A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B4" w:rsidRDefault="00A743B4" w:rsidP="005A505B">
      <w:r>
        <w:separator/>
      </w:r>
    </w:p>
  </w:footnote>
  <w:footnote w:type="continuationSeparator" w:id="0">
    <w:p w:rsidR="00A743B4" w:rsidRDefault="00A743B4" w:rsidP="005A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33ED"/>
      </v:shape>
    </w:pict>
  </w:numPicBullet>
  <w:abstractNum w:abstractNumId="0">
    <w:nsid w:val="0F377050"/>
    <w:multiLevelType w:val="hybridMultilevel"/>
    <w:tmpl w:val="1DEA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066"/>
    <w:multiLevelType w:val="hybridMultilevel"/>
    <w:tmpl w:val="EC365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86591"/>
    <w:multiLevelType w:val="hybridMultilevel"/>
    <w:tmpl w:val="B08A1C2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8FA407E"/>
    <w:multiLevelType w:val="hybridMultilevel"/>
    <w:tmpl w:val="0A4E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DFB"/>
    <w:multiLevelType w:val="multilevel"/>
    <w:tmpl w:val="FE82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E372AA5"/>
    <w:multiLevelType w:val="hybridMultilevel"/>
    <w:tmpl w:val="156C1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B41AB"/>
    <w:multiLevelType w:val="hybridMultilevel"/>
    <w:tmpl w:val="E3CEF9EC"/>
    <w:lvl w:ilvl="0" w:tplc="0409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39621E19"/>
    <w:multiLevelType w:val="hybridMultilevel"/>
    <w:tmpl w:val="C55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91D50"/>
    <w:multiLevelType w:val="hybridMultilevel"/>
    <w:tmpl w:val="60BEE78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418300AF"/>
    <w:multiLevelType w:val="hybridMultilevel"/>
    <w:tmpl w:val="2BB2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01EA"/>
    <w:multiLevelType w:val="hybridMultilevel"/>
    <w:tmpl w:val="1728AD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44E24"/>
    <w:multiLevelType w:val="hybridMultilevel"/>
    <w:tmpl w:val="1424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55562"/>
    <w:multiLevelType w:val="hybridMultilevel"/>
    <w:tmpl w:val="D1D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90574"/>
    <w:multiLevelType w:val="hybridMultilevel"/>
    <w:tmpl w:val="D5FC9C32"/>
    <w:lvl w:ilvl="0" w:tplc="8144A470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617D1"/>
    <w:multiLevelType w:val="multilevel"/>
    <w:tmpl w:val="FE82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85A0900"/>
    <w:multiLevelType w:val="hybridMultilevel"/>
    <w:tmpl w:val="C6F891EC"/>
    <w:lvl w:ilvl="0" w:tplc="C0609BA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73B8D"/>
    <w:multiLevelType w:val="hybridMultilevel"/>
    <w:tmpl w:val="ACB63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9A7A63"/>
    <w:multiLevelType w:val="hybridMultilevel"/>
    <w:tmpl w:val="AA8673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7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9"/>
    <w:rsid w:val="000430C6"/>
    <w:rsid w:val="00045990"/>
    <w:rsid w:val="001236A8"/>
    <w:rsid w:val="00151D95"/>
    <w:rsid w:val="00163D68"/>
    <w:rsid w:val="001900A7"/>
    <w:rsid w:val="001C13BA"/>
    <w:rsid w:val="001C6E83"/>
    <w:rsid w:val="001D561E"/>
    <w:rsid w:val="001F416B"/>
    <w:rsid w:val="00202FEE"/>
    <w:rsid w:val="002210B0"/>
    <w:rsid w:val="0023096D"/>
    <w:rsid w:val="00233575"/>
    <w:rsid w:val="00294C6D"/>
    <w:rsid w:val="002954B4"/>
    <w:rsid w:val="002D02DA"/>
    <w:rsid w:val="003249C1"/>
    <w:rsid w:val="00337323"/>
    <w:rsid w:val="00340468"/>
    <w:rsid w:val="00385A98"/>
    <w:rsid w:val="004A1811"/>
    <w:rsid w:val="005043FE"/>
    <w:rsid w:val="00525C3E"/>
    <w:rsid w:val="00530305"/>
    <w:rsid w:val="0053039F"/>
    <w:rsid w:val="00531B53"/>
    <w:rsid w:val="005331C0"/>
    <w:rsid w:val="005A505B"/>
    <w:rsid w:val="00684F71"/>
    <w:rsid w:val="006A73D6"/>
    <w:rsid w:val="006C396B"/>
    <w:rsid w:val="006C4614"/>
    <w:rsid w:val="00722BB7"/>
    <w:rsid w:val="007A12F1"/>
    <w:rsid w:val="00852894"/>
    <w:rsid w:val="0085770E"/>
    <w:rsid w:val="00865A16"/>
    <w:rsid w:val="009046A3"/>
    <w:rsid w:val="0091289C"/>
    <w:rsid w:val="00961DFC"/>
    <w:rsid w:val="00995E05"/>
    <w:rsid w:val="009F2286"/>
    <w:rsid w:val="00A20509"/>
    <w:rsid w:val="00A663C3"/>
    <w:rsid w:val="00A743B4"/>
    <w:rsid w:val="00AE4612"/>
    <w:rsid w:val="00B84443"/>
    <w:rsid w:val="00BB2AC5"/>
    <w:rsid w:val="00C017B4"/>
    <w:rsid w:val="00C175AD"/>
    <w:rsid w:val="00C17736"/>
    <w:rsid w:val="00C21C1A"/>
    <w:rsid w:val="00C64AA4"/>
    <w:rsid w:val="00CB1DE8"/>
    <w:rsid w:val="00CC31E5"/>
    <w:rsid w:val="00D108CC"/>
    <w:rsid w:val="00D358B9"/>
    <w:rsid w:val="00D3793C"/>
    <w:rsid w:val="00D9114D"/>
    <w:rsid w:val="00DB76A1"/>
    <w:rsid w:val="00E26F7A"/>
    <w:rsid w:val="00E745D7"/>
    <w:rsid w:val="00ED4E03"/>
    <w:rsid w:val="00EF7F43"/>
    <w:rsid w:val="00F94C1A"/>
    <w:rsid w:val="00FF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8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046A3"/>
    <w:pPr>
      <w:keepNext/>
      <w:pBdr>
        <w:top w:val="double" w:sz="4" w:space="6" w:color="auto"/>
        <w:bottom w:val="double" w:sz="4" w:space="6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2050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046A3"/>
    <w:pPr>
      <w:keepNext/>
      <w:spacing w:line="216" w:lineRule="exact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6A3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9046A3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9046A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9046A3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A20509"/>
    <w:rPr>
      <w:b/>
      <w:bCs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A20509"/>
    <w:pPr>
      <w:spacing w:after="120" w:line="276" w:lineRule="auto"/>
      <w:ind w:left="720"/>
      <w:contextualSpacing/>
    </w:pPr>
    <w:rPr>
      <w:rFonts w:ascii="Calibri" w:hAnsi="Calibri" w:cs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A5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5B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3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3D6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A73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3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3D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73D6"/>
    <w:rPr>
      <w:vertAlign w:val="superscript"/>
    </w:rPr>
  </w:style>
  <w:style w:type="table" w:styleId="TableGrid">
    <w:name w:val="Table Grid"/>
    <w:basedOn w:val="TableNormal"/>
    <w:uiPriority w:val="59"/>
    <w:rsid w:val="0015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151D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046A3"/>
    <w:pPr>
      <w:keepNext/>
      <w:pBdr>
        <w:top w:val="double" w:sz="4" w:space="6" w:color="auto"/>
        <w:bottom w:val="double" w:sz="4" w:space="6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2050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046A3"/>
    <w:pPr>
      <w:keepNext/>
      <w:spacing w:line="216" w:lineRule="exact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6A3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9046A3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9046A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9046A3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A20509"/>
    <w:rPr>
      <w:b/>
      <w:bCs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A20509"/>
    <w:pPr>
      <w:spacing w:after="120" w:line="276" w:lineRule="auto"/>
      <w:ind w:left="720"/>
      <w:contextualSpacing/>
    </w:pPr>
    <w:rPr>
      <w:rFonts w:ascii="Calibri" w:hAnsi="Calibri" w:cs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A5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5B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3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3D6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A73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3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3D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73D6"/>
    <w:rPr>
      <w:vertAlign w:val="superscript"/>
    </w:rPr>
  </w:style>
  <w:style w:type="table" w:styleId="TableGrid">
    <w:name w:val="Table Grid"/>
    <w:basedOn w:val="TableNormal"/>
    <w:uiPriority w:val="59"/>
    <w:rsid w:val="0015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151D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D2F2-C594-4012-AC56-2C40E1AF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UNHCRuser</cp:lastModifiedBy>
  <cp:revision>4</cp:revision>
  <cp:lastPrinted>2013-08-26T09:55:00Z</cp:lastPrinted>
  <dcterms:created xsi:type="dcterms:W3CDTF">2013-12-02T15:12:00Z</dcterms:created>
  <dcterms:modified xsi:type="dcterms:W3CDTF">2014-02-19T08:27:00Z</dcterms:modified>
</cp:coreProperties>
</file>