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43476" w14:textId="3E9479D1" w:rsidR="004956BF" w:rsidRPr="00DA558A" w:rsidRDefault="00C71713" w:rsidP="00C71713">
      <w:pPr>
        <w:widowControl w:val="0"/>
        <w:autoSpaceDE w:val="0"/>
        <w:autoSpaceDN w:val="0"/>
        <w:adjustRightInd w:val="0"/>
        <w:spacing w:after="0" w:line="239" w:lineRule="auto"/>
        <w:rPr>
          <w:rFonts w:cs="Times New Roman"/>
          <w:sz w:val="24"/>
          <w:szCs w:val="24"/>
        </w:rPr>
      </w:pPr>
      <w:r>
        <w:rPr>
          <w:b/>
          <w:noProof/>
          <w:u w:val="single"/>
          <w:lang w:eastAsia="en-GB"/>
        </w:rPr>
        <mc:AlternateContent>
          <mc:Choice Requires="wps">
            <w:drawing>
              <wp:anchor distT="0" distB="0" distL="114300" distR="114300" simplePos="0" relativeHeight="251675136" behindDoc="0" locked="0" layoutInCell="1" allowOverlap="1" wp14:anchorId="611226C2" wp14:editId="52B45616">
                <wp:simplePos x="0" y="0"/>
                <wp:positionH relativeFrom="margin">
                  <wp:posOffset>773430</wp:posOffset>
                </wp:positionH>
                <wp:positionV relativeFrom="paragraph">
                  <wp:posOffset>-429997</wp:posOffset>
                </wp:positionV>
                <wp:extent cx="3724275" cy="342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7242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7E1205" w14:textId="1A5BCF00" w:rsidR="00C71713" w:rsidRPr="00C71713" w:rsidRDefault="00985331" w:rsidP="00C71713">
                            <w:pPr>
                              <w:jc w:val="center"/>
                              <w:rPr>
                                <w:b/>
                                <w:bCs/>
                                <w:color w:val="FFFFFF" w:themeColor="background1"/>
                                <w:sz w:val="28"/>
                                <w:szCs w:val="28"/>
                                <w:lang w:val="en-US"/>
                              </w:rPr>
                            </w:pPr>
                            <w:r>
                              <w:rPr>
                                <w:b/>
                                <w:bCs/>
                                <w:color w:val="FFFFFF" w:themeColor="background1"/>
                                <w:sz w:val="28"/>
                                <w:szCs w:val="28"/>
                                <w:lang w:val="en-US"/>
                              </w:rPr>
                              <w:t>Winterization Standards 2015-2016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1226C2" id="_x0000_t202" coordsize="21600,21600" o:spt="202" path="m,l,21600r21600,l21600,xe">
                <v:stroke joinstyle="miter"/>
                <v:path gradientshapeok="t" o:connecttype="rect"/>
              </v:shapetype>
              <v:shape id="Text Box 6" o:spid="_x0000_s1026" type="#_x0000_t202" style="position:absolute;margin-left:60.9pt;margin-top:-33.85pt;width:293.25pt;height:27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" filled="f" stroked="f" strokeweight=".5pt">
                <v:textbox>
                  <w:txbxContent>
                    <w:p w14:paraId="2B7E1205" w14:textId="1A5BCF00" w:rsidR="00C71713" w:rsidRPr="00C71713" w:rsidRDefault="00985331" w:rsidP="00C71713">
                      <w:pPr>
                        <w:jc w:val="center"/>
                        <w:rPr>
                          <w:b/>
                          <w:bCs/>
                          <w:color w:val="FFFFFF" w:themeColor="background1"/>
                          <w:sz w:val="28"/>
                          <w:szCs w:val="28"/>
                          <w:lang w:val="en-US"/>
                        </w:rPr>
                      </w:pPr>
                      <w:r>
                        <w:rPr>
                          <w:b/>
                          <w:bCs/>
                          <w:color w:val="FFFFFF" w:themeColor="background1"/>
                          <w:sz w:val="28"/>
                          <w:szCs w:val="28"/>
                          <w:lang w:val="en-US"/>
                        </w:rPr>
                        <w:t>Winterization Standards 2015-2016</w:t>
                      </w:r>
                    </w:p>
                  </w:txbxContent>
                </v:textbox>
                <w10:wrap anchorx="margin"/>
              </v:shape>
            </w:pict>
          </mc:Fallback>
        </mc:AlternateContent>
      </w:r>
      <w:r w:rsidR="00057CCB" w:rsidRPr="004956BF">
        <w:rPr>
          <w:b/>
          <w:noProof/>
          <w:u w:val="single"/>
          <w:lang w:eastAsia="en-GB"/>
        </w:rPr>
        <w:drawing>
          <wp:anchor distT="0" distB="0" distL="114300" distR="114300" simplePos="0" relativeHeight="251640320" behindDoc="1" locked="0" layoutInCell="0" allowOverlap="1" wp14:anchorId="245CAA3C" wp14:editId="09C77E7E">
            <wp:simplePos x="0" y="0"/>
            <wp:positionH relativeFrom="page">
              <wp:posOffset>0</wp:posOffset>
            </wp:positionH>
            <wp:positionV relativeFrom="page">
              <wp:posOffset>0</wp:posOffset>
            </wp:positionV>
            <wp:extent cx="7543800" cy="733425"/>
            <wp:effectExtent l="0" t="0" r="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l="495" r="36078" b="1113"/>
                    <a:stretch/>
                  </pic:blipFill>
                  <pic:spPr bwMode="auto">
                    <a:xfrm>
                      <a:off x="0" y="0"/>
                      <a:ext cx="7543800" cy="733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B433A0" w14:textId="1E65A320" w:rsidR="00920D9D" w:rsidRPr="005540AD" w:rsidRDefault="0099216E" w:rsidP="005540AD">
      <w:pPr>
        <w:pStyle w:val="ListParagraph"/>
        <w:numPr>
          <w:ilvl w:val="0"/>
          <w:numId w:val="12"/>
        </w:numPr>
        <w:shd w:val="clear" w:color="auto" w:fill="FFE599" w:themeFill="accent4" w:themeFillTint="66"/>
        <w:ind w:left="-426" w:right="-1198"/>
        <w:rPr>
          <w:b/>
          <w:bCs/>
        </w:rPr>
      </w:pPr>
      <w:r>
        <w:rPr>
          <w:b/>
          <w:bCs/>
        </w:rPr>
        <w:t>Discussions</w:t>
      </w:r>
      <w:r w:rsidR="00920D9D" w:rsidRPr="005540AD">
        <w:rPr>
          <w:b/>
          <w:bCs/>
        </w:rPr>
        <w:t xml:space="preserve"> </w:t>
      </w:r>
      <w:r>
        <w:rPr>
          <w:b/>
          <w:bCs/>
        </w:rPr>
        <w:t xml:space="preserve">from the </w:t>
      </w:r>
      <w:r w:rsidR="00A54140">
        <w:rPr>
          <w:b/>
          <w:bCs/>
        </w:rPr>
        <w:t xml:space="preserve">First Winterization Standardization Meeting </w:t>
      </w:r>
    </w:p>
    <w:p w14:paraId="3E298F0D" w14:textId="4B3EA69C" w:rsidR="00920D9D" w:rsidRDefault="00A54140" w:rsidP="00057CCB">
      <w:pPr>
        <w:ind w:left="-1134" w:right="-1198"/>
      </w:pPr>
      <w:r>
        <w:t>In the first</w:t>
      </w:r>
      <w:r w:rsidR="00920D9D">
        <w:t xml:space="preserve"> meeting of the Winterization TF </w:t>
      </w:r>
      <w:r>
        <w:t>(</w:t>
      </w:r>
      <w:r w:rsidR="00920D9D">
        <w:t xml:space="preserve">5 June 2015), the following </w:t>
      </w:r>
      <w:r w:rsidR="00920D9D" w:rsidRPr="002C11CD">
        <w:rPr>
          <w:u w:val="single"/>
        </w:rPr>
        <w:t>elements were agreed</w:t>
      </w:r>
      <w:r w:rsidR="00920D9D">
        <w:t>:</w:t>
      </w:r>
    </w:p>
    <w:p w14:paraId="02A185DE" w14:textId="12A33205" w:rsidR="0049150B" w:rsidRDefault="00920D9D" w:rsidP="00920D9D">
      <w:pPr>
        <w:pStyle w:val="ListParagraph"/>
        <w:numPr>
          <w:ilvl w:val="0"/>
          <w:numId w:val="9"/>
        </w:numPr>
        <w:ind w:right="-1198"/>
      </w:pPr>
      <w:r w:rsidRPr="002C11CD">
        <w:rPr>
          <w:u w:val="single"/>
        </w:rPr>
        <w:t>Standard package</w:t>
      </w:r>
      <w:r w:rsidR="00A54140">
        <w:t xml:space="preserve"> –</w:t>
      </w:r>
      <w:r w:rsidR="0049150B">
        <w:t xml:space="preserve"> this will remain the same as last year. The agreed contents of the standard package include:</w:t>
      </w:r>
    </w:p>
    <w:p w14:paraId="4EA27642" w14:textId="23D43D4A" w:rsidR="00920D9D" w:rsidRDefault="00A54140" w:rsidP="0049150B">
      <w:pPr>
        <w:pStyle w:val="ListParagraph"/>
        <w:ind w:left="-774" w:right="-1198"/>
      </w:pPr>
      <w:r w:rsidRPr="0049150B">
        <w:rPr>
          <w:i/>
        </w:rPr>
        <w:t xml:space="preserve">Either </w:t>
      </w:r>
      <w:r>
        <w:t>1 high therma</w:t>
      </w:r>
      <w:r w:rsidR="006E2487">
        <w:t>l</w:t>
      </w:r>
      <w:r>
        <w:t xml:space="preserve"> blanket per person </w:t>
      </w:r>
      <w:r w:rsidRPr="0049150B">
        <w:rPr>
          <w:i/>
        </w:rPr>
        <w:t xml:space="preserve">or </w:t>
      </w:r>
      <w:r>
        <w:t>two medium therma</w:t>
      </w:r>
      <w:r w:rsidR="006E2487">
        <w:t>l</w:t>
      </w:r>
      <w:r>
        <w:t xml:space="preserve"> blankets per person </w:t>
      </w:r>
      <w:r w:rsidR="0049150B">
        <w:t xml:space="preserve">+ 1 heater + bottles + refills. </w:t>
      </w:r>
    </w:p>
    <w:p w14:paraId="348687EF" w14:textId="69ABFB56" w:rsidR="0049150B" w:rsidRDefault="0049150B" w:rsidP="0049150B">
      <w:pPr>
        <w:pStyle w:val="ListParagraph"/>
        <w:numPr>
          <w:ilvl w:val="0"/>
          <w:numId w:val="9"/>
        </w:numPr>
        <w:ind w:right="-1198"/>
      </w:pPr>
      <w:r w:rsidRPr="002C11CD">
        <w:rPr>
          <w:u w:val="single"/>
        </w:rPr>
        <w:t xml:space="preserve">Use of the winterization module </w:t>
      </w:r>
      <w:r>
        <w:t>– upd</w:t>
      </w:r>
      <w:bookmarkStart w:id="0" w:name="_GoBack"/>
      <w:bookmarkEnd w:id="0"/>
      <w:r>
        <w:t xml:space="preserve">ates are to be made but the </w:t>
      </w:r>
      <w:r w:rsidR="002B55FF">
        <w:t xml:space="preserve">RAIS </w:t>
      </w:r>
      <w:r>
        <w:t xml:space="preserve">module will once again be used in order to avoid duplication. </w:t>
      </w:r>
    </w:p>
    <w:p w14:paraId="27E15395" w14:textId="77777777" w:rsidR="0035349D" w:rsidRDefault="0035349D" w:rsidP="0035349D">
      <w:pPr>
        <w:pStyle w:val="ListParagraph"/>
        <w:numPr>
          <w:ilvl w:val="0"/>
          <w:numId w:val="9"/>
        </w:numPr>
        <w:ind w:right="-1198"/>
      </w:pPr>
      <w:r w:rsidRPr="002C11CD">
        <w:rPr>
          <w:u w:val="single"/>
        </w:rPr>
        <w:t>Referral between the Shelter WG and the Basic Needs WG</w:t>
      </w:r>
      <w:r>
        <w:t xml:space="preserve"> – for better coordination between the two working groups, it was decided that whenever a Sealing Off Kit (SOK) is provided under shelter assistance, referral should be made to include a winterisation standard package. It was recognised that referral based on the opposite way round cannot be easily defined, but shall remain the responsibility of agencies to refer when they see fit.</w:t>
      </w:r>
    </w:p>
    <w:p w14:paraId="5E97C323" w14:textId="0A504EE7" w:rsidR="005D31CB" w:rsidRDefault="0049150B" w:rsidP="0035349D">
      <w:pPr>
        <w:pStyle w:val="ListParagraph"/>
        <w:numPr>
          <w:ilvl w:val="0"/>
          <w:numId w:val="9"/>
        </w:numPr>
        <w:ind w:right="-1198"/>
      </w:pPr>
      <w:r w:rsidRPr="002C11CD">
        <w:rPr>
          <w:u w:val="single"/>
        </w:rPr>
        <w:t>Distribution to vulnerable parts of the population</w:t>
      </w:r>
      <w:r>
        <w:t xml:space="preserve"> – guidelines a</w:t>
      </w:r>
      <w:r w:rsidR="002B55FF">
        <w:t xml:space="preserve">re to be drafted relating to those with special needs and the elderly. </w:t>
      </w:r>
    </w:p>
    <w:p w14:paraId="677E6EDB" w14:textId="5B65E6E4" w:rsidR="00D919F1" w:rsidRPr="005D31CB" w:rsidRDefault="002C11CD" w:rsidP="00EC0C13">
      <w:pPr>
        <w:pStyle w:val="ListParagraph"/>
        <w:numPr>
          <w:ilvl w:val="0"/>
          <w:numId w:val="9"/>
        </w:numPr>
        <w:ind w:right="-1198"/>
      </w:pPr>
      <w:r w:rsidRPr="002C11CD">
        <w:rPr>
          <w:u w:val="single"/>
        </w:rPr>
        <w:t>I</w:t>
      </w:r>
      <w:r w:rsidR="005D31CB" w:rsidRPr="002C11CD">
        <w:rPr>
          <w:u w:val="single"/>
        </w:rPr>
        <w:t>nclusion of vulnerable Jordanians</w:t>
      </w:r>
      <w:r w:rsidR="005D31CB" w:rsidRPr="005D31CB">
        <w:t xml:space="preserve"> </w:t>
      </w:r>
      <w:r>
        <w:t xml:space="preserve">– this </w:t>
      </w:r>
      <w:r w:rsidR="005D31CB" w:rsidRPr="005D31CB">
        <w:t xml:space="preserve">should be tackled proactively, by </w:t>
      </w:r>
      <w:r w:rsidR="005D31CB" w:rsidRPr="005D31CB">
        <w:rPr>
          <w:rFonts w:cs="Times New Roman"/>
        </w:rPr>
        <w:t xml:space="preserve">coordinating with local partners such as </w:t>
      </w:r>
      <w:r w:rsidR="005D31CB" w:rsidRPr="005D31CB">
        <w:t xml:space="preserve"> </w:t>
      </w:r>
      <w:r w:rsidR="005D31CB" w:rsidRPr="005D31CB">
        <w:rPr>
          <w:rFonts w:cs="Times New Roman"/>
        </w:rPr>
        <w:t xml:space="preserve"> JHCO, </w:t>
      </w:r>
      <w:proofErr w:type="spellStart"/>
      <w:r w:rsidR="005D31CB" w:rsidRPr="005D31CB">
        <w:rPr>
          <w:rFonts w:cs="Times New Roman"/>
        </w:rPr>
        <w:t>Tkiyet</w:t>
      </w:r>
      <w:proofErr w:type="spellEnd"/>
      <w:r w:rsidR="005D31CB" w:rsidRPr="005D31CB">
        <w:rPr>
          <w:rFonts w:cs="Times New Roman"/>
        </w:rPr>
        <w:t xml:space="preserve"> Um Ali, and the Zakat Fund.</w:t>
      </w:r>
    </w:p>
    <w:p w14:paraId="6201A06B" w14:textId="1A7C3811" w:rsidR="00920D9D" w:rsidRDefault="002B55FF" w:rsidP="0049150B">
      <w:pPr>
        <w:pStyle w:val="ListParagraph"/>
        <w:numPr>
          <w:ilvl w:val="0"/>
          <w:numId w:val="9"/>
        </w:numPr>
        <w:ind w:right="-1198"/>
      </w:pPr>
      <w:r w:rsidRPr="002C11CD">
        <w:rPr>
          <w:u w:val="single"/>
        </w:rPr>
        <w:t>Targeting criteria</w:t>
      </w:r>
      <w:r>
        <w:t xml:space="preserve"> – this is to be discussed in August</w:t>
      </w:r>
      <w:r w:rsidR="00B0764F">
        <w:t>.</w:t>
      </w:r>
    </w:p>
    <w:p w14:paraId="57C4EFF6" w14:textId="688F5066" w:rsidR="009755C2" w:rsidRDefault="00813E7B" w:rsidP="00813E7B">
      <w:pPr>
        <w:ind w:left="-1134" w:right="-1198"/>
      </w:pPr>
      <w:r>
        <w:t xml:space="preserve">The </w:t>
      </w:r>
      <w:r w:rsidRPr="002C11CD">
        <w:t>following elements were discussed</w:t>
      </w:r>
      <w:r w:rsidR="00F360A8">
        <w:t xml:space="preserve"> but required further follow up:</w:t>
      </w:r>
    </w:p>
    <w:p w14:paraId="0CCBC580" w14:textId="588B644C" w:rsidR="00813E7B" w:rsidRDefault="00813E7B" w:rsidP="00B0764F">
      <w:pPr>
        <w:pStyle w:val="ListParagraph"/>
        <w:numPr>
          <w:ilvl w:val="0"/>
          <w:numId w:val="13"/>
        </w:numPr>
        <w:ind w:left="-709" w:right="-1198"/>
      </w:pPr>
      <w:r w:rsidRPr="002C11CD">
        <w:rPr>
          <w:u w:val="single"/>
        </w:rPr>
        <w:t>Two-tiered system</w:t>
      </w:r>
      <w:r>
        <w:t xml:space="preserve"> – </w:t>
      </w:r>
      <w:r w:rsidR="00B0764F">
        <w:t xml:space="preserve">there were discussions on whether NFIs that can last more than one year should be </w:t>
      </w:r>
      <w:proofErr w:type="gramStart"/>
      <w:r w:rsidR="00B0764F">
        <w:t>redistributed</w:t>
      </w:r>
      <w:proofErr w:type="gramEnd"/>
      <w:r w:rsidR="00B0764F">
        <w:t xml:space="preserve"> or not. A tiered system was in place during the last cycle, which allowed for partial winterization packages. However, concerns were raised, as refugees are known to liquidate NFIs received as part of winterization assistance in the warmer summer months. It was agreed that a rapid assessment of heaters should be conducted to better understand to what degree these assets are liquidated (see section II). </w:t>
      </w:r>
    </w:p>
    <w:p w14:paraId="65BC5C62" w14:textId="296D38AD" w:rsidR="005D31CB" w:rsidRDefault="00920D9D" w:rsidP="005D31CB">
      <w:pPr>
        <w:pStyle w:val="ListParagraph"/>
        <w:numPr>
          <w:ilvl w:val="0"/>
          <w:numId w:val="13"/>
        </w:numPr>
        <w:ind w:left="-709" w:right="-1198"/>
      </w:pPr>
      <w:r w:rsidRPr="002C11CD">
        <w:rPr>
          <w:u w:val="single"/>
        </w:rPr>
        <w:t>Preference for per capita calculation of assistance (even if pro-rated)</w:t>
      </w:r>
      <w:r w:rsidR="00B0764F">
        <w:t xml:space="preserve"> </w:t>
      </w:r>
      <w:r w:rsidR="005D31CB">
        <w:t>–</w:t>
      </w:r>
      <w:r w:rsidR="00B0764F">
        <w:t xml:space="preserve"> </w:t>
      </w:r>
      <w:r w:rsidR="00EC0C13">
        <w:t xml:space="preserve">it was agreed that a household approach to distributing assistance creates difficulties, as more than one family often live in the same household. Instead, </w:t>
      </w:r>
      <w:r w:rsidR="00CA3B0F">
        <w:t>a per capita approach would be</w:t>
      </w:r>
      <w:r w:rsidR="00EC0C13">
        <w:t xml:space="preserve"> mor</w:t>
      </w:r>
      <w:r w:rsidR="00CA3B0F">
        <w:t>e effective</w:t>
      </w:r>
      <w:r w:rsidR="00EC0C13">
        <w:t>, particularly when di</w:t>
      </w:r>
      <w:r w:rsidR="00514780">
        <w:t xml:space="preserve">stributing cash assistance. However, the TF encountered some difficulties when discussing how a per capita approach could be applied to NFI distribution. It was agreed that some market research should be conducted to determine the cost in JOD of the NFI items included in the standard package </w:t>
      </w:r>
      <w:r w:rsidR="00514780" w:rsidRPr="00A36DC1">
        <w:t>(see</w:t>
      </w:r>
      <w:r w:rsidR="00D46B86">
        <w:t xml:space="preserve"> section III</w:t>
      </w:r>
      <w:r w:rsidR="00A36DC1" w:rsidRPr="00A36DC1">
        <w:t xml:space="preserve"> for results</w:t>
      </w:r>
      <w:r w:rsidR="00514780" w:rsidRPr="00A36DC1">
        <w:t>).</w:t>
      </w:r>
      <w:r w:rsidR="00514780">
        <w:t xml:space="preserve"> </w:t>
      </w:r>
    </w:p>
    <w:p w14:paraId="49253A63" w14:textId="77777777" w:rsidR="005540AD" w:rsidRDefault="005540AD" w:rsidP="005540AD">
      <w:pPr>
        <w:pStyle w:val="NoSpacing"/>
      </w:pPr>
    </w:p>
    <w:p w14:paraId="14726B23" w14:textId="77777777" w:rsidR="0019448B" w:rsidRDefault="0019448B" w:rsidP="005540AD">
      <w:pPr>
        <w:pStyle w:val="NoSpacing"/>
      </w:pPr>
    </w:p>
    <w:p w14:paraId="7A220F09" w14:textId="392D50A9" w:rsidR="005540AD" w:rsidRPr="005540AD" w:rsidRDefault="005540AD" w:rsidP="005540AD">
      <w:pPr>
        <w:pStyle w:val="ListParagraph"/>
        <w:numPr>
          <w:ilvl w:val="0"/>
          <w:numId w:val="12"/>
        </w:numPr>
        <w:shd w:val="clear" w:color="auto" w:fill="FFE599" w:themeFill="accent4" w:themeFillTint="66"/>
        <w:ind w:left="-426" w:right="-1198"/>
        <w:rPr>
          <w:b/>
          <w:bCs/>
        </w:rPr>
      </w:pPr>
      <w:r>
        <w:rPr>
          <w:b/>
          <w:bCs/>
        </w:rPr>
        <w:t>Rapid Assessment</w:t>
      </w:r>
      <w:r w:rsidR="00B0764F">
        <w:rPr>
          <w:b/>
          <w:bCs/>
        </w:rPr>
        <w:t xml:space="preserve"> of Heaters </w:t>
      </w:r>
    </w:p>
    <w:p w14:paraId="405F10EC" w14:textId="1B50FE92" w:rsidR="00762B8E" w:rsidRPr="003B7BB3" w:rsidRDefault="00514780" w:rsidP="00920D9D">
      <w:pPr>
        <w:ind w:left="-1134" w:right="-1198"/>
      </w:pPr>
      <w:r>
        <w:t>Since the first</w:t>
      </w:r>
      <w:r w:rsidR="000B669C">
        <w:t xml:space="preserve"> meeting, </w:t>
      </w:r>
      <w:r w:rsidR="0019448B">
        <w:t>five</w:t>
      </w:r>
      <w:r w:rsidR="00057CCB">
        <w:t xml:space="preserve"> partners (</w:t>
      </w:r>
      <w:r w:rsidR="00C71713">
        <w:t xml:space="preserve">DRC, </w:t>
      </w:r>
      <w:r w:rsidR="00057CCB">
        <w:t xml:space="preserve">IRC, PU-AMI, UNHCR, </w:t>
      </w:r>
      <w:proofErr w:type="gramStart"/>
      <w:r w:rsidR="00057CCB">
        <w:t>UNICEF</w:t>
      </w:r>
      <w:proofErr w:type="gramEnd"/>
      <w:r w:rsidR="00057CCB">
        <w:t>)</w:t>
      </w:r>
      <w:r w:rsidR="00BE5C1A">
        <w:t xml:space="preserve"> conducted </w:t>
      </w:r>
      <w:r w:rsidR="00057CCB">
        <w:t xml:space="preserve">a rapid assessment to better understand to what degree </w:t>
      </w:r>
      <w:r>
        <w:t xml:space="preserve">heaters </w:t>
      </w:r>
      <w:r w:rsidR="00057CCB">
        <w:t>are liquidated</w:t>
      </w:r>
      <w:r w:rsidR="00EB5E08">
        <w:t>.</w:t>
      </w:r>
      <w:r w:rsidR="00057CCB">
        <w:t xml:space="preserve"> Partners used one of two options:</w:t>
      </w:r>
    </w:p>
    <w:p w14:paraId="3B4683A0" w14:textId="77777777" w:rsidR="00057CCB" w:rsidRDefault="00406BEF" w:rsidP="00920D9D">
      <w:pPr>
        <w:pStyle w:val="ListParagraph"/>
        <w:numPr>
          <w:ilvl w:val="0"/>
          <w:numId w:val="10"/>
        </w:numPr>
        <w:ind w:right="-1198"/>
        <w:rPr>
          <w:lang w:val="en-US"/>
        </w:rPr>
      </w:pPr>
      <w:r>
        <w:rPr>
          <w:lang w:val="en-US"/>
        </w:rPr>
        <w:t>When there has been prior confirmation that a heater was provided/purchased for previous winter seasons, beneficiaries should be asked if they still have the item.</w:t>
      </w:r>
    </w:p>
    <w:p w14:paraId="4978608D" w14:textId="3537C3D3" w:rsidR="00B26A53" w:rsidRPr="00057CCB" w:rsidRDefault="00406BEF" w:rsidP="00920D9D">
      <w:pPr>
        <w:pStyle w:val="ListParagraph"/>
        <w:numPr>
          <w:ilvl w:val="0"/>
          <w:numId w:val="10"/>
        </w:numPr>
        <w:ind w:right="-1198"/>
        <w:rPr>
          <w:lang w:val="en-US"/>
        </w:rPr>
      </w:pPr>
      <w:r w:rsidRPr="00057CCB">
        <w:t xml:space="preserve">When there is no prior knowledge on whether Winterization assistance was provided, beneficiaries should be asked if they received winterization assistance and whether it included a heater or cash for a heater. If a heater was acquired, they should then be asked if they still have it. </w:t>
      </w:r>
      <w:r w:rsidR="00496CBD" w:rsidRPr="00057CCB">
        <w:t> </w:t>
      </w:r>
    </w:p>
    <w:p w14:paraId="6825C4CF" w14:textId="6FEF89BA" w:rsidR="00C71713" w:rsidRDefault="00C71713" w:rsidP="002B34F1">
      <w:pPr>
        <w:pStyle w:val="ListParagraph"/>
        <w:ind w:left="-1134" w:right="-1198"/>
        <w:rPr>
          <w:b/>
        </w:rPr>
      </w:pPr>
    </w:p>
    <w:p w14:paraId="1D9C0CB2" w14:textId="77777777" w:rsidR="0019448B" w:rsidRDefault="0019448B" w:rsidP="0019448B">
      <w:pPr>
        <w:pStyle w:val="ListParagraph"/>
        <w:ind w:left="-1134" w:right="-1198"/>
      </w:pPr>
      <w:r w:rsidRPr="00372425">
        <w:rPr>
          <w:b/>
        </w:rPr>
        <w:t>IRC</w:t>
      </w:r>
      <w:r>
        <w:rPr>
          <w:b/>
          <w:u w:val="single"/>
        </w:rPr>
        <w:br/>
      </w:r>
      <w:r w:rsidRPr="00372425">
        <w:rPr>
          <w:u w:val="single"/>
        </w:rPr>
        <w:t>Methodology:</w:t>
      </w:r>
      <w:r>
        <w:t xml:space="preserve"> A small sample (around 20%) of beneficiaries had reported buying winter household items, from which a random sample of 87 cases was selected. They were asked questions related to scenario 1: did you buy a heater last winter? Do you still have it?</w:t>
      </w:r>
    </w:p>
    <w:p w14:paraId="069FC356" w14:textId="77777777" w:rsidR="0019448B" w:rsidRPr="002B34F1" w:rsidRDefault="0019448B" w:rsidP="0019448B">
      <w:pPr>
        <w:pStyle w:val="ListParagraph"/>
        <w:ind w:left="-1134" w:right="-1198"/>
        <w:rPr>
          <w:b/>
          <w:u w:val="single"/>
        </w:rPr>
      </w:pPr>
      <w:r w:rsidRPr="002B34F1">
        <w:rPr>
          <w:u w:val="single"/>
        </w:rPr>
        <w:t>Results:</w:t>
      </w:r>
      <w:r>
        <w:t xml:space="preserve"> 80.46% reported buying a heater from IRC Winterization cash assistance, of which 91.43% reported that they had kept it until now. </w:t>
      </w:r>
    </w:p>
    <w:p w14:paraId="76F7DB11" w14:textId="77777777" w:rsidR="0019448B" w:rsidRDefault="0019448B" w:rsidP="00C71713">
      <w:pPr>
        <w:pStyle w:val="ListParagraph"/>
        <w:ind w:left="-1134" w:right="-1198"/>
        <w:rPr>
          <w:b/>
        </w:rPr>
      </w:pPr>
    </w:p>
    <w:p w14:paraId="0B6D420E" w14:textId="2BFA910E" w:rsidR="00C71713" w:rsidRDefault="00844553" w:rsidP="00C71713">
      <w:pPr>
        <w:pStyle w:val="ListParagraph"/>
        <w:ind w:left="-1134" w:right="-1198"/>
      </w:pPr>
      <w:r>
        <w:rPr>
          <w:noProof/>
        </w:rPr>
        <w:lastRenderedPageBreak/>
        <w:pict w14:anchorId="55B1F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54.25pt;margin-top:4.5pt;width:215.25pt;height:161.3pt;z-index:251674112;mso-position-horizontal-relative:margin;mso-position-vertical-relative:margin">
            <v:imagedata r:id="rId9" o:title="image003" cropleft="4452f"/>
            <w10:wrap type="square" anchorx="margin" anchory="margin"/>
          </v:shape>
        </w:pict>
      </w:r>
      <w:r w:rsidR="00C71713">
        <w:rPr>
          <w:b/>
        </w:rPr>
        <w:t>DRC</w:t>
      </w:r>
      <w:r w:rsidR="00C71713">
        <w:rPr>
          <w:b/>
          <w:u w:val="single"/>
        </w:rPr>
        <w:br/>
      </w:r>
      <w:r w:rsidR="00C71713" w:rsidRPr="00372425">
        <w:rPr>
          <w:u w:val="single"/>
        </w:rPr>
        <w:t>Methodology:</w:t>
      </w:r>
      <w:r w:rsidR="00C71713">
        <w:t xml:space="preserve"> A follow-</w:t>
      </w:r>
      <w:r w:rsidR="00C71713" w:rsidRPr="00C71713">
        <w:t>up phone survey</w:t>
      </w:r>
      <w:r w:rsidR="00C71713">
        <w:t xml:space="preserve"> was done with HH randomly sampled form the </w:t>
      </w:r>
      <w:r w:rsidR="00C71713" w:rsidRPr="00C71713">
        <w:t xml:space="preserve">originally contacted for feedback in March 2015. The sample includes 70 households (interviews with </w:t>
      </w:r>
      <w:proofErr w:type="spellStart"/>
      <w:r w:rsidR="00C71713" w:rsidRPr="00C71713">
        <w:t>HoH</w:t>
      </w:r>
      <w:proofErr w:type="spellEnd"/>
      <w:r w:rsidR="00C71713" w:rsidRPr="00C71713">
        <w:t xml:space="preserve"> or spouse).</w:t>
      </w:r>
    </w:p>
    <w:p w14:paraId="376AEF01" w14:textId="77777777" w:rsidR="00C71713" w:rsidRPr="00C71713" w:rsidRDefault="00C71713" w:rsidP="00C71713">
      <w:pPr>
        <w:pStyle w:val="ListParagraph"/>
        <w:ind w:left="-1134" w:right="-1198"/>
        <w:rPr>
          <w:lang w:val="en-US"/>
        </w:rPr>
      </w:pPr>
      <w:r w:rsidRPr="002B34F1">
        <w:rPr>
          <w:u w:val="single"/>
        </w:rPr>
        <w:t>Results:</w:t>
      </w:r>
      <w:r>
        <w:t xml:space="preserve"> </w:t>
      </w:r>
      <w:r w:rsidRPr="00C71713">
        <w:t>27% of the beneficiaries reported using the cash assistance provided by DRC in December-January to buy heaters. These had an average cost of 66 JOD. Of those who used at least a portion of the cash to buy a heater, 74% of still have heaters at their homes. Only three interviewed households indicated that they had sold their heaters</w:t>
      </w:r>
      <w:r>
        <w:t xml:space="preserve">. </w:t>
      </w:r>
      <w:r w:rsidRPr="00C71713">
        <w:rPr>
          <w:lang w:val="en-US"/>
        </w:rPr>
        <w:t xml:space="preserve">Overall (not only those who used cash assistance for heaters), 64% of the participated beneficiaries (average family size = 5) reported that they still have heaters for the coming winter season. </w:t>
      </w:r>
    </w:p>
    <w:p w14:paraId="40BE9E39" w14:textId="77777777" w:rsidR="00C71713" w:rsidRDefault="00C71713" w:rsidP="002B34F1">
      <w:pPr>
        <w:pStyle w:val="ListParagraph"/>
        <w:ind w:left="-1134" w:right="-1198"/>
        <w:rPr>
          <w:b/>
          <w:lang w:val="en-US"/>
        </w:rPr>
      </w:pPr>
    </w:p>
    <w:p w14:paraId="35B22341" w14:textId="79B30011" w:rsidR="00372425" w:rsidRDefault="00372425" w:rsidP="00B26A53">
      <w:pPr>
        <w:pStyle w:val="ListParagraph"/>
        <w:ind w:left="-1134" w:right="-1198"/>
      </w:pPr>
    </w:p>
    <w:p w14:paraId="0DFF367B" w14:textId="30C5B697" w:rsidR="00372425" w:rsidRDefault="00514780" w:rsidP="00B26A53">
      <w:pPr>
        <w:pStyle w:val="ListParagraph"/>
        <w:ind w:left="-1134" w:right="-1198"/>
      </w:pPr>
      <w:r>
        <w:rPr>
          <w:noProof/>
          <w:lang w:eastAsia="en-GB"/>
        </w:rPr>
        <w:drawing>
          <wp:anchor distT="0" distB="0" distL="114300" distR="114300" simplePos="0" relativeHeight="251654656" behindDoc="0" locked="0" layoutInCell="1" allowOverlap="1" wp14:anchorId="3EEB7724" wp14:editId="49EEBA35">
            <wp:simplePos x="0" y="0"/>
            <wp:positionH relativeFrom="page">
              <wp:posOffset>4486275</wp:posOffset>
            </wp:positionH>
            <wp:positionV relativeFrom="paragraph">
              <wp:posOffset>281305</wp:posOffset>
            </wp:positionV>
            <wp:extent cx="2879725" cy="17526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3853" t="3838" b="8992"/>
                    <a:stretch/>
                  </pic:blipFill>
                  <pic:spPr bwMode="auto">
                    <a:xfrm>
                      <a:off x="0" y="0"/>
                      <a:ext cx="2879725" cy="175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2425">
        <w:rPr>
          <w:b/>
        </w:rPr>
        <w:t>PU-AMI</w:t>
      </w:r>
      <w:r w:rsidR="00372425">
        <w:rPr>
          <w:b/>
        </w:rPr>
        <w:br/>
      </w:r>
      <w:r w:rsidR="00372425">
        <w:rPr>
          <w:u w:val="single"/>
        </w:rPr>
        <w:t>Methodology:</w:t>
      </w:r>
      <w:r w:rsidR="008232FE">
        <w:t xml:space="preserve"> 51 households were selected, all of which had received either full NFI assistance or a heater in the 2013-2014 Winterization cycle. They were asked one question related to scenario 1: do you still have the heater?</w:t>
      </w:r>
    </w:p>
    <w:p w14:paraId="7A605096" w14:textId="4D8388F8" w:rsidR="003D5961" w:rsidRDefault="008232FE" w:rsidP="00057CCB">
      <w:pPr>
        <w:pStyle w:val="ListParagraph"/>
        <w:ind w:left="-1134" w:right="-1198"/>
      </w:pPr>
      <w:r w:rsidRPr="002B34F1">
        <w:rPr>
          <w:u w:val="single"/>
        </w:rPr>
        <w:t>Results:</w:t>
      </w:r>
      <w:r>
        <w:t xml:space="preserve"> </w:t>
      </w:r>
      <w:r w:rsidR="007D5DC7">
        <w:t>33 out of 51 households (64.71%) reported that they still have the heater received in the 2013-2014 Winterization cycle. 11 out of 51 households</w:t>
      </w:r>
      <w:r w:rsidR="00E33B2D">
        <w:t xml:space="preserve"> (21.57%)</w:t>
      </w:r>
      <w:r w:rsidR="007D5DC7">
        <w:t xml:space="preserve"> reported that they no longer have the heater; 1 did not give an answer and 2 were either disconnected or a wrong number. </w:t>
      </w:r>
      <w:r w:rsidR="005A7E57">
        <w:t>Note: 4 households answered that they did not receive a heater, despite their case numbers being present on the list. This could be due either to a small percentage of error on the list, or the beneficiaries not giving the correct answer.</w:t>
      </w:r>
    </w:p>
    <w:p w14:paraId="4A2A6CAF" w14:textId="77777777" w:rsidR="00932BEB" w:rsidRPr="002B34F1" w:rsidRDefault="00932BEB" w:rsidP="00057CCB">
      <w:pPr>
        <w:pStyle w:val="ListParagraph"/>
        <w:ind w:left="-1134" w:right="-1198"/>
        <w:rPr>
          <w:u w:val="single"/>
        </w:rPr>
      </w:pPr>
    </w:p>
    <w:p w14:paraId="5BEAFBD6" w14:textId="77777777" w:rsidR="005144EB" w:rsidRPr="004956BF" w:rsidRDefault="005144EB" w:rsidP="005144EB">
      <w:pPr>
        <w:pStyle w:val="ListParagraph"/>
        <w:ind w:left="-1134" w:right="-1198"/>
      </w:pPr>
      <w:r w:rsidRPr="004956BF">
        <w:rPr>
          <w:b/>
        </w:rPr>
        <w:t>UNICEF</w:t>
      </w:r>
    </w:p>
    <w:p w14:paraId="60CC3A0D" w14:textId="77777777" w:rsidR="005144EB" w:rsidRDefault="005144EB" w:rsidP="005144EB">
      <w:pPr>
        <w:pStyle w:val="ListParagraph"/>
        <w:ind w:left="-1134" w:right="-1198"/>
      </w:pPr>
      <w:r>
        <w:rPr>
          <w:u w:val="single"/>
        </w:rPr>
        <w:t>Methodology:</w:t>
      </w:r>
      <w:r>
        <w:t xml:space="preserve"> Telephone interviews were conducted with a sample of 100 random families from a total of 500 families receiving UNICEF child cash grants. </w:t>
      </w:r>
    </w:p>
    <w:p w14:paraId="431532FA" w14:textId="463FA588" w:rsidR="005144EB" w:rsidRDefault="005144EB" w:rsidP="00057CCB">
      <w:pPr>
        <w:pStyle w:val="ListParagraph"/>
        <w:ind w:left="-1134" w:right="-1198"/>
        <w:rPr>
          <w:b/>
        </w:rPr>
      </w:pPr>
      <w:r>
        <w:rPr>
          <w:u w:val="single"/>
        </w:rPr>
        <w:t>Results:</w:t>
      </w:r>
      <w:r>
        <w:t xml:space="preserve"> 63 families out of the 100 asked acknowledged receiving Winterization assistance. Out of this 63, 39 families stated that the type of assistance received was cash, whilst 24 said they had received heaters. Out of these 24 families who received heaters, 12 families stated that they still have the heaters. </w:t>
      </w:r>
    </w:p>
    <w:p w14:paraId="1BA7D1C9" w14:textId="60648D01" w:rsidR="00057CCB" w:rsidRDefault="00057CCB" w:rsidP="003D5961">
      <w:pPr>
        <w:pStyle w:val="ListParagraph"/>
        <w:ind w:left="-1134" w:right="-1198"/>
        <w:rPr>
          <w:b/>
        </w:rPr>
      </w:pPr>
    </w:p>
    <w:p w14:paraId="60C61D7C" w14:textId="7B2468B9" w:rsidR="005A7E57" w:rsidRPr="009C60E4" w:rsidRDefault="003D5961" w:rsidP="009C60E4">
      <w:pPr>
        <w:pStyle w:val="ListParagraph"/>
        <w:ind w:left="-1134" w:right="-1198"/>
        <w:rPr>
          <w:b/>
        </w:rPr>
      </w:pPr>
      <w:r w:rsidRPr="009C60E4">
        <w:rPr>
          <w:b/>
        </w:rPr>
        <w:t>UNHCR</w:t>
      </w:r>
    </w:p>
    <w:p w14:paraId="2B65FBDC" w14:textId="3ED286BB" w:rsidR="005A7E57" w:rsidRDefault="00932BEB" w:rsidP="00057CCB">
      <w:pPr>
        <w:pStyle w:val="ListParagraph"/>
        <w:ind w:left="-1134" w:right="-1198"/>
      </w:pPr>
      <w:r>
        <w:rPr>
          <w:b/>
          <w:noProof/>
          <w:lang w:eastAsia="en-GB"/>
        </w:rPr>
        <w:drawing>
          <wp:anchor distT="0" distB="0" distL="114300" distR="114300" simplePos="0" relativeHeight="251672064" behindDoc="0" locked="0" layoutInCell="1" allowOverlap="1" wp14:anchorId="4F0A5990" wp14:editId="684D2107">
            <wp:simplePos x="0" y="0"/>
            <wp:positionH relativeFrom="page">
              <wp:posOffset>4650740</wp:posOffset>
            </wp:positionH>
            <wp:positionV relativeFrom="paragraph">
              <wp:posOffset>146050</wp:posOffset>
            </wp:positionV>
            <wp:extent cx="2610485" cy="1610995"/>
            <wp:effectExtent l="0" t="0" r="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9272" t="24251" r="13462" b="8577"/>
                    <a:stretch/>
                  </pic:blipFill>
                  <pic:spPr bwMode="auto">
                    <a:xfrm>
                      <a:off x="0" y="0"/>
                      <a:ext cx="2610485" cy="1610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1EC3">
        <w:rPr>
          <w:u w:val="single"/>
        </w:rPr>
        <w:t>Methodology:</w:t>
      </w:r>
      <w:r w:rsidR="001E1EC3">
        <w:t xml:space="preserve"> </w:t>
      </w:r>
      <w:r w:rsidR="0028205A">
        <w:t>A sample size of 270 families who had declared they had bought either heaters or gas refills for their heaters in the PDM for the 4</w:t>
      </w:r>
      <w:r w:rsidR="0028205A" w:rsidRPr="0028205A">
        <w:rPr>
          <w:vertAlign w:val="superscript"/>
        </w:rPr>
        <w:t>th</w:t>
      </w:r>
      <w:r w:rsidR="0028205A">
        <w:t xml:space="preserve"> quarter of the year 2014 was selected. </w:t>
      </w:r>
      <w:r w:rsidR="00057CCB">
        <w:t xml:space="preserve">These families were called and </w:t>
      </w:r>
      <w:r w:rsidR="0028205A">
        <w:t xml:space="preserve">asked questions based on scenario 1. </w:t>
      </w:r>
    </w:p>
    <w:p w14:paraId="0A2B4733" w14:textId="77777777" w:rsidR="00CE2DC1" w:rsidRDefault="0028205A" w:rsidP="00057CCB">
      <w:pPr>
        <w:pStyle w:val="ListParagraph"/>
        <w:ind w:left="-1134" w:right="-1198"/>
      </w:pPr>
      <w:r>
        <w:rPr>
          <w:u w:val="single"/>
        </w:rPr>
        <w:t>Results:</w:t>
      </w:r>
      <w:r>
        <w:t xml:space="preserve"> 94% of cases answered that they did not sell their heaters. 5% of cases said they had sold their heaters, which they did after the winter season and for varying reasons. The most prevailing reason was to pay the accommodation rent, whereas others sold their heaters to buy NFIs or to pay for health services. </w:t>
      </w:r>
      <w:r w:rsidR="00866DF0">
        <w:t>4 cases answered that the heaters they used during winter had been borrowed from their neighbours and returned after the winter season had finished (</w:t>
      </w:r>
      <w:r w:rsidR="00057CCB">
        <w:t>N</w:t>
      </w:r>
      <w:r w:rsidR="00866DF0">
        <w:t xml:space="preserve">ote: these are all families </w:t>
      </w:r>
    </w:p>
    <w:p w14:paraId="1FB5485C" w14:textId="3957215B" w:rsidR="00485B29" w:rsidRDefault="00866DF0" w:rsidP="00057CCB">
      <w:pPr>
        <w:pStyle w:val="ListParagraph"/>
        <w:ind w:left="-1134" w:right="-1198"/>
      </w:pPr>
      <w:proofErr w:type="gramStart"/>
      <w:r>
        <w:t>who</w:t>
      </w:r>
      <w:proofErr w:type="gramEnd"/>
      <w:r>
        <w:t xml:space="preserve"> had reported buying refills in the PDM). </w:t>
      </w:r>
    </w:p>
    <w:p w14:paraId="73A73968" w14:textId="3FBA33F3" w:rsidR="00485B29" w:rsidRDefault="00485B29">
      <w:pPr>
        <w:spacing w:after="0" w:line="240" w:lineRule="auto"/>
      </w:pPr>
    </w:p>
    <w:p w14:paraId="782B159F" w14:textId="7E3BBB2C" w:rsidR="00057CCB" w:rsidRDefault="00964929" w:rsidP="00964929">
      <w:pPr>
        <w:pStyle w:val="ListParagraph"/>
        <w:numPr>
          <w:ilvl w:val="0"/>
          <w:numId w:val="12"/>
        </w:numPr>
        <w:shd w:val="clear" w:color="auto" w:fill="FFE599" w:themeFill="accent4" w:themeFillTint="66"/>
        <w:ind w:left="-426" w:right="-1198"/>
        <w:rPr>
          <w:b/>
          <w:bCs/>
        </w:rPr>
      </w:pPr>
      <w:r>
        <w:rPr>
          <w:b/>
          <w:bCs/>
        </w:rPr>
        <w:t xml:space="preserve">Discussions from the Second Winterization Meeting </w:t>
      </w:r>
    </w:p>
    <w:p w14:paraId="582E2D87" w14:textId="77777777" w:rsidR="00964929" w:rsidRDefault="00964929" w:rsidP="00964929">
      <w:pPr>
        <w:pStyle w:val="ListParagraph"/>
        <w:ind w:left="-426" w:right="-1198"/>
        <w:rPr>
          <w:b/>
          <w:bCs/>
        </w:rPr>
      </w:pPr>
    </w:p>
    <w:p w14:paraId="163EE9C9" w14:textId="642F9B18" w:rsidR="00334DF9" w:rsidRDefault="00334DF9" w:rsidP="00334DF9">
      <w:pPr>
        <w:pStyle w:val="ListParagraph"/>
        <w:ind w:left="-1134" w:right="-1198"/>
        <w:rPr>
          <w:bCs/>
        </w:rPr>
      </w:pPr>
      <w:r>
        <w:rPr>
          <w:bCs/>
        </w:rPr>
        <w:t>In the second meeting of the Winterization TF (30 June 2015), the f</w:t>
      </w:r>
      <w:r w:rsidR="007C6C98">
        <w:rPr>
          <w:bCs/>
        </w:rPr>
        <w:t xml:space="preserve">ollowing </w:t>
      </w:r>
      <w:r w:rsidR="007C6C98" w:rsidRPr="002C11CD">
        <w:rPr>
          <w:bCs/>
          <w:u w:val="single"/>
        </w:rPr>
        <w:t>elements were agreed</w:t>
      </w:r>
      <w:r>
        <w:rPr>
          <w:bCs/>
        </w:rPr>
        <w:t xml:space="preserve">: </w:t>
      </w:r>
    </w:p>
    <w:p w14:paraId="613C5364" w14:textId="77777777" w:rsidR="00334DF9" w:rsidRPr="00334DF9" w:rsidRDefault="00334DF9" w:rsidP="00334DF9">
      <w:pPr>
        <w:pStyle w:val="ListParagraph"/>
        <w:ind w:left="-1134" w:right="-1198"/>
        <w:rPr>
          <w:bCs/>
        </w:rPr>
      </w:pPr>
    </w:p>
    <w:p w14:paraId="21ED7EDB" w14:textId="39887AF4" w:rsidR="00964929" w:rsidRPr="00587746" w:rsidRDefault="004669EF" w:rsidP="00587746">
      <w:pPr>
        <w:pStyle w:val="ListParagraph"/>
        <w:numPr>
          <w:ilvl w:val="0"/>
          <w:numId w:val="15"/>
        </w:numPr>
        <w:ind w:left="-709" w:right="-1198"/>
        <w:rPr>
          <w:bCs/>
        </w:rPr>
      </w:pPr>
      <w:r w:rsidRPr="002C11CD">
        <w:rPr>
          <w:bCs/>
          <w:u w:val="single"/>
        </w:rPr>
        <w:t>Two-tiered system</w:t>
      </w:r>
      <w:r>
        <w:rPr>
          <w:bCs/>
        </w:rPr>
        <w:t xml:space="preserve"> - </w:t>
      </w:r>
      <w:r w:rsidR="00334DF9">
        <w:t>The findings from the rapid assessment of heaters received in previous Winterization cycles generally show that most often, beneficiaries actually kept their heaters.</w:t>
      </w:r>
      <w:r w:rsidR="00B8597D">
        <w:t xml:space="preserve"> The retention rates observed suggests that beneficiaries are not planning on returning to Syria anytime soon, and that the heaters are clearly an effective and valued item to have. </w:t>
      </w:r>
      <w:r w:rsidR="007C6C98">
        <w:t>It was</w:t>
      </w:r>
      <w:r w:rsidR="00587746">
        <w:t xml:space="preserve"> therefore</w:t>
      </w:r>
      <w:r w:rsidR="007C6C98">
        <w:t xml:space="preserve"> agreed by the TF that this is sufficient evidence to act in favour </w:t>
      </w:r>
      <w:r w:rsidR="00334DF9">
        <w:t>of keeping a two-tiered system</w:t>
      </w:r>
      <w:r w:rsidR="009C6D95">
        <w:t>,</w:t>
      </w:r>
      <w:r w:rsidR="00334DF9">
        <w:t xml:space="preserve"> as in the previous cycle. </w:t>
      </w:r>
    </w:p>
    <w:p w14:paraId="4CCFD410" w14:textId="148A23BB" w:rsidR="00B517CD" w:rsidRPr="00572F84" w:rsidRDefault="003A4D39" w:rsidP="00B517CD">
      <w:pPr>
        <w:pStyle w:val="ListParagraph"/>
        <w:numPr>
          <w:ilvl w:val="0"/>
          <w:numId w:val="15"/>
        </w:numPr>
        <w:ind w:left="-709" w:right="-1198"/>
        <w:rPr>
          <w:bCs/>
        </w:rPr>
      </w:pPr>
      <w:r w:rsidRPr="002C11CD">
        <w:rPr>
          <w:u w:val="single"/>
        </w:rPr>
        <w:t xml:space="preserve">Distinction between </w:t>
      </w:r>
      <w:r w:rsidR="00560751" w:rsidRPr="002C11CD">
        <w:rPr>
          <w:u w:val="single"/>
        </w:rPr>
        <w:t xml:space="preserve">settlement </w:t>
      </w:r>
      <w:r w:rsidR="00344DFA" w:rsidRPr="002C11CD">
        <w:rPr>
          <w:u w:val="single"/>
        </w:rPr>
        <w:t>types</w:t>
      </w:r>
      <w:r w:rsidR="00560751" w:rsidRPr="002C11CD">
        <w:rPr>
          <w:u w:val="single"/>
        </w:rPr>
        <w:t xml:space="preserve"> in urban areas</w:t>
      </w:r>
      <w:r w:rsidR="00560751">
        <w:t xml:space="preserve"> </w:t>
      </w:r>
      <w:r w:rsidR="005B1956">
        <w:t>–</w:t>
      </w:r>
      <w:r w:rsidR="00560751">
        <w:t xml:space="preserve"> </w:t>
      </w:r>
      <w:r w:rsidR="00F652CC">
        <w:t xml:space="preserve">the issue of those living in makeshift shelters was raised, as the </w:t>
      </w:r>
      <w:r w:rsidR="00344DFA">
        <w:t>winter</w:t>
      </w:r>
      <w:r w:rsidR="00F652CC">
        <w:t xml:space="preserve"> season is particularly tough in these living conditions. It was agreed that when there is a case living in a makeshift shelter, the beneficiaries should automatically qualify to receive the full winterization package. However, agencies offering assistance to beneficiaries living in makeshift shelters should be as discrete as possible and should monitor the actions and discussions of the ITS Task Force. </w:t>
      </w:r>
      <w:r w:rsidR="00C91824">
        <w:t xml:space="preserve">It is </w:t>
      </w:r>
      <w:r w:rsidR="00B517CD">
        <w:t xml:space="preserve">important to be aware that when giving assistance to beneficiaries living in </w:t>
      </w:r>
      <w:proofErr w:type="gramStart"/>
      <w:r w:rsidR="00B517CD">
        <w:t>ITS</w:t>
      </w:r>
      <w:proofErr w:type="gramEnd"/>
      <w:r w:rsidR="00B517CD">
        <w:t xml:space="preserve">, the needs of the host communities should also be addressed.  </w:t>
      </w:r>
    </w:p>
    <w:p w14:paraId="321BA072" w14:textId="0CBD1A02" w:rsidR="001A6986" w:rsidRPr="001A6986" w:rsidRDefault="00344DFA" w:rsidP="00F45741">
      <w:pPr>
        <w:pStyle w:val="ListParagraph"/>
        <w:numPr>
          <w:ilvl w:val="0"/>
          <w:numId w:val="15"/>
        </w:numPr>
        <w:ind w:left="-709" w:right="-1198"/>
        <w:rPr>
          <w:bCs/>
        </w:rPr>
      </w:pPr>
      <w:r w:rsidRPr="001A6986">
        <w:rPr>
          <w:u w:val="single"/>
        </w:rPr>
        <w:t>Preference for per capita calculation of assistance</w:t>
      </w:r>
      <w:r>
        <w:t xml:space="preserve"> </w:t>
      </w:r>
      <w:r w:rsidR="00B517CD">
        <w:t>–</w:t>
      </w:r>
      <w:r>
        <w:t xml:space="preserve"> </w:t>
      </w:r>
      <w:r w:rsidR="00572F84">
        <w:t>a draft table outlining the costs of the standard winterization package per family size was presented to the TF. This was based on the results from the market research conducted by four organisations (ICMC, NRC, PU-AMI, UNHCR) to determine the cost in JOD of the items that make up the winterization standard package</w:t>
      </w:r>
      <w:r w:rsidR="00E14952">
        <w:t xml:space="preserve"> (see table below)</w:t>
      </w:r>
      <w:r w:rsidR="00572F84">
        <w:t xml:space="preserve">. </w:t>
      </w:r>
      <w:r w:rsidR="005E1A18">
        <w:t xml:space="preserve">For the NFI items that are not per capita, namely the heater, the calculations were made under the assumption that the suitable family size to use one standard heater would be up to 5. </w:t>
      </w:r>
      <w:r w:rsidR="00DA0269">
        <w:t xml:space="preserve">Discussions on this assumption took place, as UNICEF’s recent findings show that families most often have between 3 and 5 children, therefore challenging the basic assumption that </w:t>
      </w:r>
      <w:r w:rsidR="006C3A8A">
        <w:t xml:space="preserve">the definition of the family unit as </w:t>
      </w:r>
      <w:r w:rsidR="00DA0269">
        <w:t xml:space="preserve">5 people. </w:t>
      </w:r>
      <w:r w:rsidR="009C6D95">
        <w:t>In order to address this, the model used is a pro-rating one.</w:t>
      </w:r>
      <w:r w:rsidR="009F090B">
        <w:t xml:space="preserve"> Concerns were also raised that family sizes of 1 or 2 would not receive enough money to buy a heater and a bottle under this model. </w:t>
      </w:r>
      <w:r w:rsidR="00A119A0">
        <w:t>However, it was acknowledged that smaller families often share accommodation with other families</w:t>
      </w:r>
      <w:r w:rsidR="001A6986">
        <w:t>.</w:t>
      </w:r>
      <w:r w:rsidR="00912514">
        <w:t xml:space="preserve"> Partners are reminded that e</w:t>
      </w:r>
      <w:r w:rsidR="00912514">
        <w:t>very organisation should see it within the remit to add extra assistance when they feel a case has extra vulnerability.</w:t>
      </w:r>
    </w:p>
    <w:p w14:paraId="7FB4AB26" w14:textId="77777777" w:rsidR="001A6986" w:rsidRDefault="001A6986" w:rsidP="001A6986">
      <w:pPr>
        <w:pStyle w:val="ListParagraph"/>
        <w:ind w:left="-709" w:right="-1198"/>
        <w:rPr>
          <w:u w:val="single"/>
        </w:rPr>
      </w:pPr>
    </w:p>
    <w:p w14:paraId="5116CE75" w14:textId="77777777" w:rsidR="001A6986" w:rsidRDefault="001A6986" w:rsidP="001A6986">
      <w:pPr>
        <w:pStyle w:val="ListParagraph"/>
        <w:ind w:left="-709" w:right="-1198"/>
        <w:rPr>
          <w:u w:val="single"/>
        </w:rPr>
      </w:pPr>
    </w:p>
    <w:p w14:paraId="2348B1F1" w14:textId="68E6F793" w:rsidR="00196DBD" w:rsidRPr="001A6986" w:rsidRDefault="005E1A18" w:rsidP="001A6986">
      <w:pPr>
        <w:pStyle w:val="ListParagraph"/>
        <w:ind w:left="-709" w:right="-1198"/>
        <w:rPr>
          <w:bCs/>
        </w:rPr>
      </w:pPr>
      <w:r>
        <w:br/>
      </w:r>
    </w:p>
    <w:tbl>
      <w:tblPr>
        <w:tblStyle w:val="TableGrid"/>
        <w:tblW w:w="8516" w:type="dxa"/>
        <w:tblInd w:w="-5" w:type="dxa"/>
        <w:tblLook w:val="04A0" w:firstRow="1" w:lastRow="0" w:firstColumn="1" w:lastColumn="0" w:noHBand="0" w:noVBand="1"/>
      </w:tblPr>
      <w:tblGrid>
        <w:gridCol w:w="1216"/>
        <w:gridCol w:w="1216"/>
        <w:gridCol w:w="1216"/>
        <w:gridCol w:w="1217"/>
        <w:gridCol w:w="1217"/>
        <w:gridCol w:w="1217"/>
        <w:gridCol w:w="1217"/>
      </w:tblGrid>
      <w:tr w:rsidR="00196DBD" w:rsidRPr="00920D9D" w14:paraId="2B6FA31C" w14:textId="77777777" w:rsidTr="00196DBD">
        <w:trPr>
          <w:trHeight w:val="495"/>
        </w:trPr>
        <w:tc>
          <w:tcPr>
            <w:tcW w:w="8516" w:type="dxa"/>
            <w:gridSpan w:val="7"/>
            <w:shd w:val="clear" w:color="auto" w:fill="FFE599" w:themeFill="accent4" w:themeFillTint="66"/>
            <w:vAlign w:val="center"/>
          </w:tcPr>
          <w:p w14:paraId="36DF3136" w14:textId="714C3B4B" w:rsidR="00196DBD" w:rsidRPr="00485B29" w:rsidRDefault="00196DBD" w:rsidP="003F4F3E">
            <w:pPr>
              <w:spacing w:after="0" w:line="240" w:lineRule="auto"/>
              <w:jc w:val="center"/>
              <w:rPr>
                <w:rFonts w:asciiTheme="majorHAnsi" w:eastAsia="Times New Roman" w:hAnsiTheme="majorHAnsi" w:cs="Times New Roman"/>
                <w:b/>
                <w:bCs/>
                <w:color w:val="000000"/>
              </w:rPr>
            </w:pPr>
            <w:r>
              <w:rPr>
                <w:rFonts w:asciiTheme="majorHAnsi" w:eastAsia="Times New Roman" w:hAnsiTheme="majorHAnsi" w:cs="Times New Roman"/>
                <w:b/>
                <w:bCs/>
                <w:color w:val="000000"/>
              </w:rPr>
              <w:t xml:space="preserve">Market Research - </w:t>
            </w:r>
            <w:r w:rsidRPr="00485B29">
              <w:rPr>
                <w:rFonts w:asciiTheme="majorHAnsi" w:eastAsia="Times New Roman" w:hAnsiTheme="majorHAnsi" w:cs="Times New Roman"/>
                <w:b/>
                <w:bCs/>
                <w:color w:val="000000"/>
              </w:rPr>
              <w:t>Item Cost (in JOD)</w:t>
            </w:r>
          </w:p>
        </w:tc>
      </w:tr>
      <w:tr w:rsidR="00196DBD" w:rsidRPr="00920D9D" w14:paraId="2D3D9FCD" w14:textId="77777777" w:rsidTr="00196DBD">
        <w:tc>
          <w:tcPr>
            <w:tcW w:w="1216" w:type="dxa"/>
            <w:vAlign w:val="bottom"/>
          </w:tcPr>
          <w:p w14:paraId="74D12F60" w14:textId="77777777" w:rsidR="00196DBD" w:rsidRPr="00920D9D" w:rsidRDefault="00196DBD" w:rsidP="003F4F3E">
            <w:pPr>
              <w:pStyle w:val="ListParagraph"/>
              <w:spacing w:after="0" w:line="240" w:lineRule="auto"/>
              <w:ind w:left="0"/>
              <w:rPr>
                <w:sz w:val="20"/>
                <w:szCs w:val="20"/>
              </w:rPr>
            </w:pPr>
            <w:r w:rsidRPr="00920D9D">
              <w:rPr>
                <w:rFonts w:asciiTheme="majorHAnsi" w:eastAsia="Times New Roman" w:hAnsiTheme="majorHAnsi" w:cs="Times New Roman"/>
                <w:color w:val="000000"/>
                <w:sz w:val="20"/>
                <w:szCs w:val="20"/>
                <w:lang w:eastAsia="en-US"/>
              </w:rPr>
              <w:t> </w:t>
            </w:r>
          </w:p>
        </w:tc>
        <w:tc>
          <w:tcPr>
            <w:tcW w:w="1216" w:type="dxa"/>
            <w:vAlign w:val="bottom"/>
          </w:tcPr>
          <w:p w14:paraId="18137DA6" w14:textId="77777777" w:rsidR="00196DBD" w:rsidRPr="00920D9D" w:rsidRDefault="00196DBD" w:rsidP="003F4F3E">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MTB</w:t>
            </w:r>
          </w:p>
        </w:tc>
        <w:tc>
          <w:tcPr>
            <w:tcW w:w="1216" w:type="dxa"/>
            <w:vAlign w:val="bottom"/>
          </w:tcPr>
          <w:p w14:paraId="3EC801E0" w14:textId="77777777" w:rsidR="00196DBD" w:rsidRPr="00920D9D" w:rsidRDefault="00196DBD" w:rsidP="003F4F3E">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HTB</w:t>
            </w:r>
          </w:p>
        </w:tc>
        <w:tc>
          <w:tcPr>
            <w:tcW w:w="1217" w:type="dxa"/>
            <w:vAlign w:val="bottom"/>
          </w:tcPr>
          <w:p w14:paraId="19FCCD89" w14:textId="77777777" w:rsidR="00196DBD" w:rsidRPr="00920D9D" w:rsidRDefault="00196DBD" w:rsidP="003F4F3E">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Heater (local)</w:t>
            </w:r>
          </w:p>
        </w:tc>
        <w:tc>
          <w:tcPr>
            <w:tcW w:w="1217" w:type="dxa"/>
            <w:vAlign w:val="bottom"/>
          </w:tcPr>
          <w:p w14:paraId="1265CE79" w14:textId="77777777" w:rsidR="00196DBD" w:rsidRPr="00920D9D" w:rsidRDefault="00196DBD" w:rsidP="003F4F3E">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Heater (imported)</w:t>
            </w:r>
          </w:p>
        </w:tc>
        <w:tc>
          <w:tcPr>
            <w:tcW w:w="1217" w:type="dxa"/>
            <w:vAlign w:val="bottom"/>
          </w:tcPr>
          <w:p w14:paraId="66AEB94B" w14:textId="77777777" w:rsidR="00196DBD" w:rsidRPr="00920D9D" w:rsidRDefault="00196DBD" w:rsidP="003F4F3E">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Gas bottle</w:t>
            </w:r>
          </w:p>
        </w:tc>
        <w:tc>
          <w:tcPr>
            <w:tcW w:w="1217" w:type="dxa"/>
            <w:vAlign w:val="bottom"/>
          </w:tcPr>
          <w:p w14:paraId="58075B12" w14:textId="77777777" w:rsidR="00196DBD" w:rsidRPr="00920D9D" w:rsidRDefault="00196DBD" w:rsidP="003F4F3E">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Gas refill</w:t>
            </w:r>
          </w:p>
        </w:tc>
      </w:tr>
      <w:tr w:rsidR="00196DBD" w:rsidRPr="00920D9D" w14:paraId="3E054A80" w14:textId="77777777" w:rsidTr="00196DBD">
        <w:tc>
          <w:tcPr>
            <w:tcW w:w="1216" w:type="dxa"/>
            <w:vAlign w:val="bottom"/>
          </w:tcPr>
          <w:p w14:paraId="30284248" w14:textId="77777777" w:rsidR="00196DBD" w:rsidRPr="00920D9D" w:rsidRDefault="00196DBD" w:rsidP="003F4F3E">
            <w:pPr>
              <w:pStyle w:val="ListParagraph"/>
              <w:spacing w:after="0" w:line="240" w:lineRule="auto"/>
              <w:ind w:left="0"/>
              <w:rPr>
                <w:sz w:val="20"/>
                <w:szCs w:val="20"/>
              </w:rPr>
            </w:pPr>
            <w:r w:rsidRPr="00920D9D">
              <w:rPr>
                <w:rFonts w:asciiTheme="majorHAnsi" w:eastAsia="Times New Roman" w:hAnsiTheme="majorHAnsi" w:cs="Times New Roman"/>
                <w:color w:val="000000"/>
                <w:sz w:val="20"/>
                <w:szCs w:val="20"/>
                <w:lang w:eastAsia="en-US"/>
              </w:rPr>
              <w:t>NRC</w:t>
            </w:r>
          </w:p>
        </w:tc>
        <w:tc>
          <w:tcPr>
            <w:tcW w:w="1216" w:type="dxa"/>
            <w:vAlign w:val="bottom"/>
          </w:tcPr>
          <w:p w14:paraId="13839096" w14:textId="77777777" w:rsidR="00196DBD" w:rsidRPr="00920D9D" w:rsidRDefault="00196DBD" w:rsidP="003F4F3E">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N/A</w:t>
            </w:r>
          </w:p>
        </w:tc>
        <w:tc>
          <w:tcPr>
            <w:tcW w:w="1216" w:type="dxa"/>
            <w:vAlign w:val="bottom"/>
          </w:tcPr>
          <w:p w14:paraId="394E8875" w14:textId="77777777" w:rsidR="00196DBD" w:rsidRPr="00920D9D" w:rsidRDefault="00196DBD" w:rsidP="003F4F3E">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N/A</w:t>
            </w:r>
          </w:p>
        </w:tc>
        <w:tc>
          <w:tcPr>
            <w:tcW w:w="1217" w:type="dxa"/>
            <w:vAlign w:val="bottom"/>
          </w:tcPr>
          <w:p w14:paraId="14D5D2AA" w14:textId="77777777" w:rsidR="00196DBD" w:rsidRPr="00920D9D" w:rsidRDefault="00196DBD" w:rsidP="003F4F3E">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80</w:t>
            </w:r>
          </w:p>
        </w:tc>
        <w:tc>
          <w:tcPr>
            <w:tcW w:w="1217" w:type="dxa"/>
            <w:vAlign w:val="bottom"/>
          </w:tcPr>
          <w:p w14:paraId="69FF7548" w14:textId="77777777" w:rsidR="00196DBD" w:rsidRPr="00920D9D" w:rsidRDefault="00196DBD" w:rsidP="003F4F3E">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43</w:t>
            </w:r>
          </w:p>
        </w:tc>
        <w:tc>
          <w:tcPr>
            <w:tcW w:w="1217" w:type="dxa"/>
            <w:vAlign w:val="bottom"/>
          </w:tcPr>
          <w:p w14:paraId="08434DD6" w14:textId="77777777" w:rsidR="00196DBD" w:rsidRPr="00920D9D" w:rsidRDefault="00196DBD" w:rsidP="003F4F3E">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43</w:t>
            </w:r>
          </w:p>
        </w:tc>
        <w:tc>
          <w:tcPr>
            <w:tcW w:w="1217" w:type="dxa"/>
            <w:vAlign w:val="bottom"/>
          </w:tcPr>
          <w:p w14:paraId="190DB5D4" w14:textId="77777777" w:rsidR="00196DBD" w:rsidRPr="00920D9D" w:rsidRDefault="00196DBD" w:rsidP="003F4F3E">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8</w:t>
            </w:r>
          </w:p>
        </w:tc>
      </w:tr>
      <w:tr w:rsidR="00196DBD" w:rsidRPr="00920D9D" w14:paraId="1F4A6AAB" w14:textId="77777777" w:rsidTr="00196DBD">
        <w:tc>
          <w:tcPr>
            <w:tcW w:w="1216" w:type="dxa"/>
            <w:vAlign w:val="bottom"/>
          </w:tcPr>
          <w:p w14:paraId="6C07EB16" w14:textId="77777777" w:rsidR="00196DBD" w:rsidRPr="00920D9D" w:rsidRDefault="00196DBD" w:rsidP="003F4F3E">
            <w:pPr>
              <w:pStyle w:val="ListParagraph"/>
              <w:spacing w:after="0" w:line="240" w:lineRule="auto"/>
              <w:ind w:left="0"/>
              <w:rPr>
                <w:sz w:val="20"/>
                <w:szCs w:val="20"/>
              </w:rPr>
            </w:pPr>
            <w:r w:rsidRPr="00920D9D">
              <w:rPr>
                <w:rFonts w:asciiTheme="majorHAnsi" w:eastAsia="Times New Roman" w:hAnsiTheme="majorHAnsi" w:cs="Times New Roman"/>
                <w:color w:val="000000"/>
                <w:sz w:val="20"/>
                <w:szCs w:val="20"/>
                <w:lang w:eastAsia="en-US"/>
              </w:rPr>
              <w:t>ICMC</w:t>
            </w:r>
          </w:p>
        </w:tc>
        <w:tc>
          <w:tcPr>
            <w:tcW w:w="1216" w:type="dxa"/>
            <w:vAlign w:val="bottom"/>
          </w:tcPr>
          <w:p w14:paraId="06D29BFD" w14:textId="77777777" w:rsidR="00196DBD" w:rsidRPr="00920D9D" w:rsidRDefault="00196DBD" w:rsidP="003F4F3E">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N/A</w:t>
            </w:r>
          </w:p>
        </w:tc>
        <w:tc>
          <w:tcPr>
            <w:tcW w:w="1216" w:type="dxa"/>
            <w:vAlign w:val="bottom"/>
          </w:tcPr>
          <w:p w14:paraId="58B6E916" w14:textId="77777777" w:rsidR="00196DBD" w:rsidRPr="00920D9D" w:rsidRDefault="00196DBD" w:rsidP="003F4F3E">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14</w:t>
            </w:r>
          </w:p>
        </w:tc>
        <w:tc>
          <w:tcPr>
            <w:tcW w:w="1217" w:type="dxa"/>
            <w:vAlign w:val="bottom"/>
          </w:tcPr>
          <w:p w14:paraId="7C18E953" w14:textId="77777777" w:rsidR="00196DBD" w:rsidRPr="00920D9D" w:rsidRDefault="00196DBD" w:rsidP="003F4F3E">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80</w:t>
            </w:r>
          </w:p>
        </w:tc>
        <w:tc>
          <w:tcPr>
            <w:tcW w:w="1217" w:type="dxa"/>
            <w:vAlign w:val="bottom"/>
          </w:tcPr>
          <w:p w14:paraId="62BC0A6A" w14:textId="77777777" w:rsidR="00196DBD" w:rsidRPr="00920D9D" w:rsidRDefault="00196DBD" w:rsidP="003F4F3E">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N/A</w:t>
            </w:r>
          </w:p>
        </w:tc>
        <w:tc>
          <w:tcPr>
            <w:tcW w:w="1217" w:type="dxa"/>
            <w:vAlign w:val="bottom"/>
          </w:tcPr>
          <w:p w14:paraId="62E868AF" w14:textId="77777777" w:rsidR="00196DBD" w:rsidRPr="00920D9D" w:rsidRDefault="00196DBD" w:rsidP="003F4F3E">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45</w:t>
            </w:r>
          </w:p>
        </w:tc>
        <w:tc>
          <w:tcPr>
            <w:tcW w:w="1217" w:type="dxa"/>
            <w:vAlign w:val="bottom"/>
          </w:tcPr>
          <w:p w14:paraId="0904FC29" w14:textId="77777777" w:rsidR="00196DBD" w:rsidRPr="00920D9D" w:rsidRDefault="00196DBD" w:rsidP="003F4F3E">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8-10</w:t>
            </w:r>
          </w:p>
        </w:tc>
      </w:tr>
      <w:tr w:rsidR="00196DBD" w:rsidRPr="00920D9D" w14:paraId="45067330" w14:textId="77777777" w:rsidTr="00196DBD">
        <w:tc>
          <w:tcPr>
            <w:tcW w:w="1216" w:type="dxa"/>
            <w:vAlign w:val="bottom"/>
          </w:tcPr>
          <w:p w14:paraId="04EAD753" w14:textId="77777777" w:rsidR="00196DBD" w:rsidRPr="00920D9D" w:rsidRDefault="00196DBD" w:rsidP="003F4F3E">
            <w:pPr>
              <w:pStyle w:val="ListParagraph"/>
              <w:spacing w:after="0" w:line="240" w:lineRule="auto"/>
              <w:ind w:left="0"/>
              <w:rPr>
                <w:sz w:val="20"/>
                <w:szCs w:val="20"/>
              </w:rPr>
            </w:pPr>
            <w:r w:rsidRPr="00920D9D">
              <w:rPr>
                <w:rFonts w:asciiTheme="majorHAnsi" w:eastAsia="Times New Roman" w:hAnsiTheme="majorHAnsi" w:cs="Times New Roman"/>
                <w:color w:val="000000"/>
                <w:sz w:val="20"/>
                <w:szCs w:val="20"/>
                <w:lang w:eastAsia="en-US"/>
              </w:rPr>
              <w:t xml:space="preserve">PU-AMI </w:t>
            </w:r>
          </w:p>
        </w:tc>
        <w:tc>
          <w:tcPr>
            <w:tcW w:w="1216" w:type="dxa"/>
            <w:vAlign w:val="bottom"/>
          </w:tcPr>
          <w:p w14:paraId="40533D48" w14:textId="77777777" w:rsidR="00196DBD" w:rsidRPr="00920D9D" w:rsidRDefault="00196DBD" w:rsidP="003F4F3E">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12-15</w:t>
            </w:r>
          </w:p>
        </w:tc>
        <w:tc>
          <w:tcPr>
            <w:tcW w:w="1216" w:type="dxa"/>
            <w:vAlign w:val="bottom"/>
          </w:tcPr>
          <w:p w14:paraId="5462BA7D" w14:textId="77777777" w:rsidR="00196DBD" w:rsidRPr="00920D9D" w:rsidRDefault="00196DBD" w:rsidP="003F4F3E">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20-25</w:t>
            </w:r>
          </w:p>
        </w:tc>
        <w:tc>
          <w:tcPr>
            <w:tcW w:w="1217" w:type="dxa"/>
            <w:vAlign w:val="bottom"/>
          </w:tcPr>
          <w:p w14:paraId="6A992440" w14:textId="77777777" w:rsidR="00196DBD" w:rsidRPr="00920D9D" w:rsidRDefault="00196DBD" w:rsidP="003F4F3E">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75-110</w:t>
            </w:r>
          </w:p>
        </w:tc>
        <w:tc>
          <w:tcPr>
            <w:tcW w:w="1217" w:type="dxa"/>
            <w:vAlign w:val="bottom"/>
          </w:tcPr>
          <w:p w14:paraId="10109919" w14:textId="77777777" w:rsidR="00196DBD" w:rsidRPr="00920D9D" w:rsidRDefault="00196DBD" w:rsidP="003F4F3E">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N/A</w:t>
            </w:r>
          </w:p>
        </w:tc>
        <w:tc>
          <w:tcPr>
            <w:tcW w:w="1217" w:type="dxa"/>
            <w:vAlign w:val="bottom"/>
          </w:tcPr>
          <w:p w14:paraId="67CE127F" w14:textId="77777777" w:rsidR="00196DBD" w:rsidRPr="00920D9D" w:rsidRDefault="00196DBD" w:rsidP="003F4F3E">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35</w:t>
            </w:r>
          </w:p>
        </w:tc>
        <w:tc>
          <w:tcPr>
            <w:tcW w:w="1217" w:type="dxa"/>
            <w:vAlign w:val="bottom"/>
          </w:tcPr>
          <w:p w14:paraId="67A877BD" w14:textId="77777777" w:rsidR="00196DBD" w:rsidRPr="00920D9D" w:rsidRDefault="00196DBD" w:rsidP="003F4F3E">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8</w:t>
            </w:r>
          </w:p>
        </w:tc>
      </w:tr>
      <w:tr w:rsidR="00196DBD" w:rsidRPr="00920D9D" w14:paraId="7A9CED65" w14:textId="77777777" w:rsidTr="00196DBD">
        <w:tc>
          <w:tcPr>
            <w:tcW w:w="1216" w:type="dxa"/>
            <w:vAlign w:val="bottom"/>
          </w:tcPr>
          <w:p w14:paraId="237DD700" w14:textId="77777777" w:rsidR="00196DBD" w:rsidRPr="00920D9D" w:rsidRDefault="00196DBD" w:rsidP="003F4F3E">
            <w:pPr>
              <w:pStyle w:val="ListParagraph"/>
              <w:spacing w:after="0" w:line="240" w:lineRule="auto"/>
              <w:ind w:left="0"/>
              <w:rPr>
                <w:sz w:val="20"/>
                <w:szCs w:val="20"/>
              </w:rPr>
            </w:pPr>
            <w:r w:rsidRPr="00920D9D">
              <w:rPr>
                <w:rFonts w:asciiTheme="majorHAnsi" w:eastAsia="Times New Roman" w:hAnsiTheme="majorHAnsi" w:cs="Times New Roman"/>
                <w:color w:val="000000"/>
                <w:sz w:val="20"/>
                <w:szCs w:val="20"/>
                <w:lang w:eastAsia="en-US"/>
              </w:rPr>
              <w:t>UNHCR</w:t>
            </w:r>
          </w:p>
        </w:tc>
        <w:tc>
          <w:tcPr>
            <w:tcW w:w="1216" w:type="dxa"/>
            <w:shd w:val="clear" w:color="auto" w:fill="auto"/>
            <w:vAlign w:val="bottom"/>
          </w:tcPr>
          <w:p w14:paraId="2DADD752" w14:textId="77777777" w:rsidR="00196DBD" w:rsidRPr="00920D9D" w:rsidRDefault="00196DBD" w:rsidP="003F4F3E">
            <w:pPr>
              <w:pStyle w:val="ListParagraph"/>
              <w:spacing w:after="0" w:line="240" w:lineRule="auto"/>
              <w:ind w:left="0"/>
              <w:jc w:val="center"/>
              <w:rPr>
                <w:sz w:val="20"/>
                <w:szCs w:val="20"/>
              </w:rPr>
            </w:pPr>
            <w:r>
              <w:rPr>
                <w:rFonts w:asciiTheme="majorHAnsi" w:eastAsia="Times New Roman" w:hAnsiTheme="majorHAnsi" w:cs="Times New Roman"/>
                <w:sz w:val="20"/>
                <w:szCs w:val="20"/>
                <w:lang w:eastAsia="en-US"/>
              </w:rPr>
              <w:t>8</w:t>
            </w:r>
          </w:p>
        </w:tc>
        <w:tc>
          <w:tcPr>
            <w:tcW w:w="1216" w:type="dxa"/>
            <w:shd w:val="clear" w:color="auto" w:fill="auto"/>
            <w:vAlign w:val="bottom"/>
          </w:tcPr>
          <w:p w14:paraId="012A20BC" w14:textId="77777777" w:rsidR="00196DBD" w:rsidRPr="00920D9D" w:rsidRDefault="00196DBD" w:rsidP="003F4F3E">
            <w:pPr>
              <w:pStyle w:val="ListParagraph"/>
              <w:spacing w:after="0" w:line="240" w:lineRule="auto"/>
              <w:ind w:left="0"/>
              <w:jc w:val="center"/>
              <w:rPr>
                <w:sz w:val="20"/>
                <w:szCs w:val="20"/>
              </w:rPr>
            </w:pPr>
            <w:r>
              <w:rPr>
                <w:rFonts w:asciiTheme="majorHAnsi" w:eastAsia="Times New Roman" w:hAnsiTheme="majorHAnsi" w:cs="Times New Roman"/>
                <w:sz w:val="20"/>
                <w:szCs w:val="20"/>
                <w:lang w:eastAsia="en-US"/>
              </w:rPr>
              <w:t>12-15</w:t>
            </w:r>
          </w:p>
        </w:tc>
        <w:tc>
          <w:tcPr>
            <w:tcW w:w="1217" w:type="dxa"/>
            <w:shd w:val="clear" w:color="auto" w:fill="auto"/>
            <w:vAlign w:val="bottom"/>
          </w:tcPr>
          <w:p w14:paraId="48368BC3" w14:textId="77777777" w:rsidR="00196DBD" w:rsidRPr="00920D9D" w:rsidRDefault="00196DBD" w:rsidP="003F4F3E">
            <w:pPr>
              <w:pStyle w:val="ListParagraph"/>
              <w:spacing w:after="0" w:line="240" w:lineRule="auto"/>
              <w:ind w:left="0"/>
              <w:jc w:val="center"/>
              <w:rPr>
                <w:sz w:val="20"/>
                <w:szCs w:val="20"/>
              </w:rPr>
            </w:pPr>
            <w:r>
              <w:rPr>
                <w:rFonts w:asciiTheme="majorHAnsi" w:eastAsia="Times New Roman" w:hAnsiTheme="majorHAnsi" w:cs="Times New Roman"/>
                <w:sz w:val="20"/>
                <w:szCs w:val="20"/>
                <w:lang w:eastAsia="en-US"/>
              </w:rPr>
              <w:t>70-80</w:t>
            </w:r>
          </w:p>
        </w:tc>
        <w:tc>
          <w:tcPr>
            <w:tcW w:w="1217" w:type="dxa"/>
            <w:vAlign w:val="bottom"/>
          </w:tcPr>
          <w:p w14:paraId="6F9C8BE8" w14:textId="77777777" w:rsidR="00196DBD" w:rsidRPr="00920D9D" w:rsidRDefault="00196DBD" w:rsidP="003F4F3E">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N/A</w:t>
            </w:r>
          </w:p>
        </w:tc>
        <w:tc>
          <w:tcPr>
            <w:tcW w:w="1217" w:type="dxa"/>
            <w:vAlign w:val="bottom"/>
          </w:tcPr>
          <w:p w14:paraId="63B0474E" w14:textId="77777777" w:rsidR="00196DBD" w:rsidRPr="00920D9D" w:rsidRDefault="00196DBD" w:rsidP="003F4F3E">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46</w:t>
            </w:r>
          </w:p>
        </w:tc>
        <w:tc>
          <w:tcPr>
            <w:tcW w:w="1217" w:type="dxa"/>
            <w:vAlign w:val="bottom"/>
          </w:tcPr>
          <w:p w14:paraId="7CAC5745" w14:textId="77777777" w:rsidR="00196DBD" w:rsidRPr="00920D9D" w:rsidRDefault="00196DBD" w:rsidP="003F4F3E">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10</w:t>
            </w:r>
          </w:p>
        </w:tc>
      </w:tr>
    </w:tbl>
    <w:p w14:paraId="0AF0C841" w14:textId="3698E9A8" w:rsidR="005E1A18" w:rsidRPr="005E1A18" w:rsidRDefault="005E1A18" w:rsidP="0019448B">
      <w:pPr>
        <w:rPr>
          <w:bCs/>
        </w:rPr>
      </w:pPr>
    </w:p>
    <w:p w14:paraId="2FAAADDD" w14:textId="77777777" w:rsidR="005B1956" w:rsidRDefault="005B1956" w:rsidP="005B1956">
      <w:pPr>
        <w:ind w:right="-1198"/>
        <w:rPr>
          <w:bCs/>
        </w:rPr>
      </w:pPr>
    </w:p>
    <w:p w14:paraId="44E589FE" w14:textId="77777777" w:rsidR="00A36DC1" w:rsidRDefault="00A36DC1" w:rsidP="005B1956">
      <w:pPr>
        <w:ind w:right="-1198"/>
        <w:rPr>
          <w:bCs/>
        </w:rPr>
      </w:pPr>
    </w:p>
    <w:p w14:paraId="08DBBA0C" w14:textId="77777777" w:rsidR="003B5BDA" w:rsidRDefault="003B5BDA" w:rsidP="00BA596C">
      <w:pPr>
        <w:ind w:right="-1198"/>
        <w:rPr>
          <w:bCs/>
        </w:rPr>
      </w:pPr>
    </w:p>
    <w:p w14:paraId="28053096" w14:textId="77777777" w:rsidR="00BA596C" w:rsidRPr="00BA596C" w:rsidRDefault="00BA596C" w:rsidP="00BA596C">
      <w:pPr>
        <w:ind w:right="-1198"/>
        <w:rPr>
          <w:b/>
          <w:bCs/>
        </w:rPr>
      </w:pPr>
    </w:p>
    <w:p w14:paraId="707D022C" w14:textId="77777777" w:rsidR="003B5BDA" w:rsidRDefault="003B5BDA" w:rsidP="00964929">
      <w:pPr>
        <w:pStyle w:val="ListParagraph"/>
        <w:ind w:left="-426" w:right="-1198"/>
        <w:rPr>
          <w:b/>
          <w:bCs/>
        </w:rPr>
      </w:pPr>
    </w:p>
    <w:p w14:paraId="06C94B72" w14:textId="77777777" w:rsidR="003B5BDA" w:rsidRDefault="003B5BDA" w:rsidP="00964929">
      <w:pPr>
        <w:pStyle w:val="ListParagraph"/>
        <w:ind w:left="-426" w:right="-1198"/>
        <w:rPr>
          <w:b/>
          <w:bCs/>
        </w:rPr>
      </w:pPr>
    </w:p>
    <w:p w14:paraId="3D2EA342" w14:textId="77777777" w:rsidR="00964929" w:rsidRPr="00964929" w:rsidRDefault="00964929" w:rsidP="00964929">
      <w:pPr>
        <w:pStyle w:val="ListParagraph"/>
        <w:ind w:left="-426" w:right="-1198"/>
        <w:rPr>
          <w:b/>
          <w:bCs/>
        </w:rPr>
      </w:pPr>
    </w:p>
    <w:p w14:paraId="2CCF8F21" w14:textId="7E09A718" w:rsidR="00964929" w:rsidRPr="00964929" w:rsidRDefault="00964929" w:rsidP="00964929">
      <w:pPr>
        <w:pStyle w:val="ListParagraph"/>
        <w:numPr>
          <w:ilvl w:val="0"/>
          <w:numId w:val="12"/>
        </w:numPr>
        <w:shd w:val="clear" w:color="auto" w:fill="FFE599" w:themeFill="accent4" w:themeFillTint="66"/>
        <w:ind w:left="-426" w:right="-1198"/>
        <w:rPr>
          <w:b/>
          <w:bCs/>
        </w:rPr>
      </w:pPr>
      <w:r>
        <w:rPr>
          <w:b/>
          <w:bCs/>
        </w:rPr>
        <w:t>Winterization Standard</w:t>
      </w:r>
    </w:p>
    <w:p w14:paraId="279E4BC4" w14:textId="77777777" w:rsidR="000948E7" w:rsidRDefault="000948E7" w:rsidP="000948E7">
      <w:pPr>
        <w:pStyle w:val="ListParagraph"/>
        <w:ind w:left="-567" w:right="-489"/>
      </w:pPr>
    </w:p>
    <w:p w14:paraId="3FAF7B87" w14:textId="65784271" w:rsidR="009A5871" w:rsidRDefault="009A5871" w:rsidP="009A5871">
      <w:pPr>
        <w:pStyle w:val="ListParagraph"/>
        <w:ind w:left="-1134" w:right="-489"/>
        <w:rPr>
          <w:u w:val="single"/>
        </w:rPr>
      </w:pPr>
      <w:r>
        <w:rPr>
          <w:u w:val="single"/>
        </w:rPr>
        <w:t>Summary of standards</w:t>
      </w:r>
    </w:p>
    <w:p w14:paraId="0F581B3A" w14:textId="77777777" w:rsidR="000B4293" w:rsidRDefault="000B4293" w:rsidP="009A5871">
      <w:pPr>
        <w:pStyle w:val="ListParagraph"/>
        <w:ind w:left="-1134" w:right="-489"/>
        <w:rPr>
          <w:u w:val="single"/>
        </w:rPr>
      </w:pPr>
    </w:p>
    <w:p w14:paraId="43F17B96" w14:textId="55B4A50D" w:rsidR="000B4293" w:rsidRDefault="000B4293" w:rsidP="00E40360">
      <w:pPr>
        <w:pStyle w:val="ListParagraph"/>
        <w:numPr>
          <w:ilvl w:val="0"/>
          <w:numId w:val="18"/>
        </w:numPr>
        <w:ind w:left="-851" w:right="-1198"/>
      </w:pPr>
      <w:r>
        <w:t xml:space="preserve">The standard package includes: </w:t>
      </w:r>
      <w:r w:rsidRPr="0049150B">
        <w:rPr>
          <w:i/>
        </w:rPr>
        <w:t xml:space="preserve">Either </w:t>
      </w:r>
      <w:r>
        <w:t>1 high therma</w:t>
      </w:r>
      <w:r w:rsidR="006E2487">
        <w:t>l</w:t>
      </w:r>
      <w:r>
        <w:t xml:space="preserve"> blanket per person </w:t>
      </w:r>
      <w:r w:rsidRPr="0049150B">
        <w:rPr>
          <w:i/>
        </w:rPr>
        <w:t xml:space="preserve">or </w:t>
      </w:r>
      <w:r>
        <w:t>two medium therma</w:t>
      </w:r>
      <w:r w:rsidR="006E2487">
        <w:t>l</w:t>
      </w:r>
      <w:r>
        <w:t xml:space="preserve"> blankets per person + 1 heater + 1 bottle + refills. </w:t>
      </w:r>
    </w:p>
    <w:p w14:paraId="150873B7" w14:textId="77777777" w:rsidR="00875D81" w:rsidRPr="00875D81" w:rsidRDefault="00E40360" w:rsidP="00875D81">
      <w:pPr>
        <w:pStyle w:val="ListParagraph"/>
        <w:numPr>
          <w:ilvl w:val="0"/>
          <w:numId w:val="18"/>
        </w:numPr>
        <w:ind w:left="-851" w:right="-489"/>
        <w:rPr>
          <w:u w:val="single"/>
        </w:rPr>
      </w:pPr>
      <w:r>
        <w:t xml:space="preserve">A two-tier system will be applied, as adopted last year. Cases living in makeshift shelters will automatically quality for the full standard package. </w:t>
      </w:r>
    </w:p>
    <w:p w14:paraId="0480ED0D" w14:textId="30630AF4" w:rsidR="00C54639" w:rsidRPr="00875D81" w:rsidRDefault="00582CBC" w:rsidP="00875D81">
      <w:pPr>
        <w:pStyle w:val="ListParagraph"/>
        <w:numPr>
          <w:ilvl w:val="0"/>
          <w:numId w:val="18"/>
        </w:numPr>
        <w:ind w:left="-851" w:right="-489"/>
        <w:rPr>
          <w:u w:val="single"/>
        </w:rPr>
      </w:pPr>
      <w:r>
        <w:t xml:space="preserve">The standards are </w:t>
      </w:r>
      <w:r w:rsidR="00C54639">
        <w:t xml:space="preserve">based on a per capita approach. Based on findings </w:t>
      </w:r>
      <w:r w:rsidR="00A818B4">
        <w:t xml:space="preserve">from the market research (see table in section III) </w:t>
      </w:r>
      <w:r w:rsidR="00C54639">
        <w:t xml:space="preserve">and using the MEB approach, the table below gives an estimate of the cost of a standard Winterization package, depending on the case size. </w:t>
      </w:r>
      <w:r w:rsidR="00875D81">
        <w:br/>
      </w:r>
      <w:r w:rsidR="00875D81">
        <w:br/>
        <w:t xml:space="preserve">Note: for the costs of the “pro-rated heater + gas”, it was agreed that the </w:t>
      </w:r>
      <w:r w:rsidR="00875D81" w:rsidRPr="00875D81">
        <w:rPr>
          <w:u w:val="single"/>
        </w:rPr>
        <w:t xml:space="preserve">suitable family size to use one standard heater is up to 5. </w:t>
      </w:r>
      <w:r w:rsidR="00875D81">
        <w:t>Therefore, the figures have been calculated by taking the total price of the heater + gas + bottle package (285 JOD) and dividing it by the family size of 5.</w:t>
      </w:r>
    </w:p>
    <w:tbl>
      <w:tblPr>
        <w:tblStyle w:val="TableGrid"/>
        <w:tblpPr w:leftFromText="180" w:rightFromText="180" w:vertAnchor="text" w:horzAnchor="margin" w:tblpXSpec="center" w:tblpY="224"/>
        <w:tblW w:w="10292" w:type="dxa"/>
        <w:tblLayout w:type="fixed"/>
        <w:tblLook w:val="04A0" w:firstRow="1" w:lastRow="0" w:firstColumn="1" w:lastColumn="0" w:noHBand="0" w:noVBand="1"/>
      </w:tblPr>
      <w:tblGrid>
        <w:gridCol w:w="1696"/>
        <w:gridCol w:w="851"/>
        <w:gridCol w:w="1276"/>
        <w:gridCol w:w="924"/>
        <w:gridCol w:w="924"/>
        <w:gridCol w:w="924"/>
        <w:gridCol w:w="924"/>
        <w:gridCol w:w="924"/>
        <w:gridCol w:w="924"/>
        <w:gridCol w:w="925"/>
      </w:tblGrid>
      <w:tr w:rsidR="00875D81" w:rsidRPr="00644568" w14:paraId="778CDE30" w14:textId="77777777" w:rsidTr="00875D81">
        <w:trPr>
          <w:trHeight w:val="413"/>
        </w:trPr>
        <w:tc>
          <w:tcPr>
            <w:tcW w:w="10292" w:type="dxa"/>
            <w:gridSpan w:val="10"/>
            <w:shd w:val="clear" w:color="auto" w:fill="FFE599" w:themeFill="accent4" w:themeFillTint="66"/>
            <w:vAlign w:val="center"/>
          </w:tcPr>
          <w:p w14:paraId="4DA2BF2C" w14:textId="77777777" w:rsidR="00875D81" w:rsidRPr="00E50BBD" w:rsidRDefault="00875D81" w:rsidP="00875D81">
            <w:pPr>
              <w:spacing w:after="0" w:line="240" w:lineRule="auto"/>
              <w:jc w:val="center"/>
              <w:rPr>
                <w:rFonts w:asciiTheme="majorHAnsi" w:eastAsia="Times New Roman" w:hAnsiTheme="majorHAnsi" w:cs="Times New Roman"/>
                <w:b/>
                <w:bCs/>
                <w:color w:val="000000"/>
              </w:rPr>
            </w:pPr>
            <w:r w:rsidRPr="00E50BBD">
              <w:rPr>
                <w:rFonts w:asciiTheme="majorHAnsi" w:eastAsia="Times New Roman" w:hAnsiTheme="majorHAnsi" w:cs="Times New Roman"/>
                <w:b/>
                <w:bCs/>
                <w:color w:val="000000"/>
              </w:rPr>
              <w:t>Cost of Winterization (in JOD)</w:t>
            </w:r>
          </w:p>
        </w:tc>
      </w:tr>
      <w:tr w:rsidR="00875D81" w:rsidRPr="00644568" w14:paraId="7CF6359C" w14:textId="77777777" w:rsidTr="00875D81">
        <w:tc>
          <w:tcPr>
            <w:tcW w:w="1696" w:type="dxa"/>
            <w:vMerge w:val="restart"/>
            <w:vAlign w:val="bottom"/>
          </w:tcPr>
          <w:p w14:paraId="7234C428" w14:textId="77777777" w:rsidR="00875D81" w:rsidRPr="00644568" w:rsidRDefault="00875D81" w:rsidP="00875D81">
            <w:pPr>
              <w:pStyle w:val="ListParagraph"/>
              <w:tabs>
                <w:tab w:val="left" w:pos="795"/>
              </w:tabs>
              <w:spacing w:after="0" w:line="240" w:lineRule="auto"/>
              <w:ind w:left="0"/>
              <w:rPr>
                <w:rFonts w:asciiTheme="majorHAnsi" w:eastAsia="Times New Roman" w:hAnsiTheme="majorHAnsi" w:cs="Times New Roman"/>
                <w:color w:val="000000"/>
                <w:sz w:val="20"/>
                <w:szCs w:val="20"/>
              </w:rPr>
            </w:pPr>
            <w:r w:rsidRPr="00644568">
              <w:rPr>
                <w:rFonts w:asciiTheme="majorHAnsi" w:eastAsia="Times New Roman" w:hAnsiTheme="majorHAnsi" w:cs="Times New Roman"/>
                <w:color w:val="000000"/>
                <w:sz w:val="20"/>
                <w:szCs w:val="20"/>
              </w:rPr>
              <w:t> </w:t>
            </w:r>
          </w:p>
        </w:tc>
        <w:tc>
          <w:tcPr>
            <w:tcW w:w="851" w:type="dxa"/>
            <w:vMerge w:val="restart"/>
            <w:vAlign w:val="bottom"/>
          </w:tcPr>
          <w:p w14:paraId="6D5621F2" w14:textId="77777777" w:rsidR="00875D81" w:rsidRPr="00644568" w:rsidRDefault="00875D81" w:rsidP="00875D81">
            <w:pPr>
              <w:pStyle w:val="ListParagraph"/>
              <w:spacing w:after="0" w:line="240" w:lineRule="auto"/>
              <w:ind w:left="0"/>
              <w:jc w:val="center"/>
              <w:rPr>
                <w:rFonts w:asciiTheme="majorHAnsi" w:eastAsia="Times New Roman" w:hAnsiTheme="majorHAnsi" w:cs="Times New Roman"/>
                <w:color w:val="000000"/>
                <w:sz w:val="20"/>
                <w:szCs w:val="20"/>
              </w:rPr>
            </w:pPr>
            <w:r w:rsidRPr="00644568">
              <w:rPr>
                <w:rFonts w:asciiTheme="majorHAnsi" w:eastAsia="Times New Roman" w:hAnsiTheme="majorHAnsi" w:cs="Times New Roman"/>
                <w:color w:val="000000"/>
                <w:sz w:val="20"/>
                <w:szCs w:val="20"/>
              </w:rPr>
              <w:t>Unit Cost</w:t>
            </w:r>
          </w:p>
        </w:tc>
        <w:tc>
          <w:tcPr>
            <w:tcW w:w="1276" w:type="dxa"/>
            <w:vMerge w:val="restart"/>
            <w:vAlign w:val="bottom"/>
          </w:tcPr>
          <w:p w14:paraId="1C614504" w14:textId="77777777" w:rsidR="00875D81" w:rsidRPr="00644568" w:rsidRDefault="00875D81" w:rsidP="00875D81">
            <w:pPr>
              <w:pStyle w:val="ListParagraph"/>
              <w:spacing w:after="0" w:line="240" w:lineRule="auto"/>
              <w:ind w:left="0"/>
              <w:jc w:val="center"/>
              <w:rPr>
                <w:rFonts w:asciiTheme="majorHAnsi" w:eastAsia="Times New Roman" w:hAnsiTheme="majorHAnsi" w:cs="Times New Roman"/>
                <w:color w:val="000000"/>
                <w:sz w:val="20"/>
                <w:szCs w:val="20"/>
              </w:rPr>
            </w:pPr>
            <w:r w:rsidRPr="00644568">
              <w:rPr>
                <w:rFonts w:asciiTheme="majorHAnsi" w:eastAsia="Times New Roman" w:hAnsiTheme="majorHAnsi" w:cs="Times New Roman"/>
                <w:color w:val="000000"/>
                <w:sz w:val="20"/>
                <w:szCs w:val="20"/>
              </w:rPr>
              <w:t>Entitlement</w:t>
            </w:r>
          </w:p>
        </w:tc>
        <w:tc>
          <w:tcPr>
            <w:tcW w:w="6469" w:type="dxa"/>
            <w:gridSpan w:val="7"/>
            <w:vAlign w:val="bottom"/>
          </w:tcPr>
          <w:p w14:paraId="5AA166EB" w14:textId="77777777" w:rsidR="00875D81" w:rsidRPr="00644568" w:rsidRDefault="00875D81" w:rsidP="00875D81">
            <w:pPr>
              <w:spacing w:after="0" w:line="240" w:lineRule="auto"/>
              <w:jc w:val="center"/>
              <w:rPr>
                <w:rFonts w:asciiTheme="majorHAnsi" w:eastAsia="Times New Roman" w:hAnsiTheme="majorHAnsi" w:cs="Times New Roman"/>
                <w:color w:val="000000"/>
                <w:sz w:val="20"/>
                <w:szCs w:val="20"/>
              </w:rPr>
            </w:pPr>
            <w:r w:rsidRPr="00644568">
              <w:rPr>
                <w:rFonts w:asciiTheme="majorHAnsi" w:eastAsia="Times New Roman" w:hAnsiTheme="majorHAnsi" w:cs="Times New Roman"/>
                <w:color w:val="000000"/>
                <w:sz w:val="20"/>
                <w:szCs w:val="20"/>
              </w:rPr>
              <w:t>Family Size</w:t>
            </w:r>
          </w:p>
        </w:tc>
      </w:tr>
      <w:tr w:rsidR="00875D81" w:rsidRPr="00644568" w14:paraId="439B957F" w14:textId="77777777" w:rsidTr="00875D81">
        <w:tc>
          <w:tcPr>
            <w:tcW w:w="1696" w:type="dxa"/>
            <w:vMerge/>
            <w:vAlign w:val="bottom"/>
          </w:tcPr>
          <w:p w14:paraId="0C73A5A0" w14:textId="77777777" w:rsidR="00875D81" w:rsidRPr="00644568" w:rsidRDefault="00875D81" w:rsidP="00875D81">
            <w:pPr>
              <w:pStyle w:val="ListParagraph"/>
              <w:tabs>
                <w:tab w:val="left" w:pos="795"/>
              </w:tabs>
              <w:spacing w:after="0" w:line="240" w:lineRule="auto"/>
              <w:ind w:left="0"/>
              <w:rPr>
                <w:rFonts w:asciiTheme="majorHAnsi" w:hAnsiTheme="majorHAnsi"/>
                <w:sz w:val="20"/>
                <w:szCs w:val="20"/>
              </w:rPr>
            </w:pPr>
          </w:p>
        </w:tc>
        <w:tc>
          <w:tcPr>
            <w:tcW w:w="851" w:type="dxa"/>
            <w:vMerge/>
            <w:vAlign w:val="bottom"/>
          </w:tcPr>
          <w:p w14:paraId="4BA599A8" w14:textId="77777777" w:rsidR="00875D81" w:rsidRPr="00644568" w:rsidRDefault="00875D81" w:rsidP="00875D81">
            <w:pPr>
              <w:pStyle w:val="ListParagraph"/>
              <w:spacing w:after="0" w:line="240" w:lineRule="auto"/>
              <w:ind w:left="0"/>
              <w:jc w:val="center"/>
              <w:rPr>
                <w:rFonts w:asciiTheme="majorHAnsi" w:hAnsiTheme="majorHAnsi"/>
                <w:sz w:val="20"/>
                <w:szCs w:val="20"/>
              </w:rPr>
            </w:pPr>
          </w:p>
        </w:tc>
        <w:tc>
          <w:tcPr>
            <w:tcW w:w="1276" w:type="dxa"/>
            <w:vMerge/>
            <w:vAlign w:val="bottom"/>
          </w:tcPr>
          <w:p w14:paraId="2B049427" w14:textId="77777777" w:rsidR="00875D81" w:rsidRPr="00644568" w:rsidRDefault="00875D81" w:rsidP="00875D81">
            <w:pPr>
              <w:pStyle w:val="ListParagraph"/>
              <w:spacing w:after="0" w:line="240" w:lineRule="auto"/>
              <w:ind w:left="0"/>
              <w:jc w:val="center"/>
              <w:rPr>
                <w:rFonts w:asciiTheme="majorHAnsi" w:hAnsiTheme="majorHAnsi"/>
                <w:sz w:val="20"/>
                <w:szCs w:val="20"/>
              </w:rPr>
            </w:pPr>
          </w:p>
        </w:tc>
        <w:tc>
          <w:tcPr>
            <w:tcW w:w="924" w:type="dxa"/>
            <w:vAlign w:val="bottom"/>
          </w:tcPr>
          <w:p w14:paraId="69B47900" w14:textId="77777777" w:rsidR="00875D81" w:rsidRPr="00644568" w:rsidRDefault="00875D81" w:rsidP="00875D81">
            <w:pPr>
              <w:pStyle w:val="ListParagraph"/>
              <w:spacing w:after="0" w:line="240" w:lineRule="auto"/>
              <w:ind w:left="0"/>
              <w:jc w:val="center"/>
              <w:rPr>
                <w:rFonts w:asciiTheme="majorHAnsi" w:hAnsiTheme="majorHAnsi"/>
                <w:sz w:val="20"/>
                <w:szCs w:val="20"/>
              </w:rPr>
            </w:pPr>
            <w:r w:rsidRPr="00644568">
              <w:rPr>
                <w:rFonts w:asciiTheme="majorHAnsi" w:eastAsia="Times New Roman" w:hAnsiTheme="majorHAnsi" w:cs="Times New Roman"/>
                <w:color w:val="000000"/>
                <w:sz w:val="20"/>
                <w:szCs w:val="20"/>
              </w:rPr>
              <w:t>1</w:t>
            </w:r>
          </w:p>
        </w:tc>
        <w:tc>
          <w:tcPr>
            <w:tcW w:w="924" w:type="dxa"/>
            <w:vAlign w:val="bottom"/>
          </w:tcPr>
          <w:p w14:paraId="4B92F73A" w14:textId="77777777" w:rsidR="00875D81" w:rsidRPr="00644568" w:rsidRDefault="00875D81" w:rsidP="00875D81">
            <w:pPr>
              <w:pStyle w:val="ListParagraph"/>
              <w:spacing w:after="0" w:line="240" w:lineRule="auto"/>
              <w:ind w:left="0"/>
              <w:jc w:val="center"/>
              <w:rPr>
                <w:rFonts w:asciiTheme="majorHAnsi" w:hAnsiTheme="majorHAnsi"/>
                <w:sz w:val="20"/>
                <w:szCs w:val="20"/>
              </w:rPr>
            </w:pPr>
            <w:r w:rsidRPr="00644568">
              <w:rPr>
                <w:rFonts w:asciiTheme="majorHAnsi" w:eastAsia="Times New Roman" w:hAnsiTheme="majorHAnsi" w:cs="Times New Roman"/>
                <w:color w:val="000000"/>
                <w:sz w:val="20"/>
                <w:szCs w:val="20"/>
              </w:rPr>
              <w:t>2</w:t>
            </w:r>
          </w:p>
        </w:tc>
        <w:tc>
          <w:tcPr>
            <w:tcW w:w="924" w:type="dxa"/>
            <w:vAlign w:val="bottom"/>
          </w:tcPr>
          <w:p w14:paraId="60233A12" w14:textId="77777777" w:rsidR="00875D81" w:rsidRPr="00644568" w:rsidRDefault="00875D81" w:rsidP="00875D81">
            <w:pPr>
              <w:pStyle w:val="ListParagraph"/>
              <w:spacing w:after="0" w:line="240" w:lineRule="auto"/>
              <w:ind w:left="0"/>
              <w:jc w:val="center"/>
              <w:rPr>
                <w:rFonts w:asciiTheme="majorHAnsi" w:hAnsiTheme="majorHAnsi"/>
                <w:sz w:val="20"/>
                <w:szCs w:val="20"/>
              </w:rPr>
            </w:pPr>
            <w:r w:rsidRPr="00644568">
              <w:rPr>
                <w:rFonts w:asciiTheme="majorHAnsi" w:eastAsia="Times New Roman" w:hAnsiTheme="majorHAnsi" w:cs="Times New Roman"/>
                <w:color w:val="000000"/>
                <w:sz w:val="20"/>
                <w:szCs w:val="20"/>
              </w:rPr>
              <w:t>3</w:t>
            </w:r>
          </w:p>
        </w:tc>
        <w:tc>
          <w:tcPr>
            <w:tcW w:w="924" w:type="dxa"/>
            <w:vAlign w:val="bottom"/>
          </w:tcPr>
          <w:p w14:paraId="4277A1C0" w14:textId="77777777" w:rsidR="00875D81" w:rsidRPr="00644568" w:rsidRDefault="00875D81" w:rsidP="00875D81">
            <w:pPr>
              <w:pStyle w:val="ListParagraph"/>
              <w:spacing w:after="0" w:line="240" w:lineRule="auto"/>
              <w:ind w:left="0"/>
              <w:jc w:val="center"/>
              <w:rPr>
                <w:rFonts w:asciiTheme="majorHAnsi" w:hAnsiTheme="majorHAnsi"/>
                <w:sz w:val="20"/>
                <w:szCs w:val="20"/>
              </w:rPr>
            </w:pPr>
            <w:r w:rsidRPr="00644568">
              <w:rPr>
                <w:rFonts w:asciiTheme="majorHAnsi" w:eastAsia="Times New Roman" w:hAnsiTheme="majorHAnsi" w:cs="Times New Roman"/>
                <w:color w:val="000000"/>
                <w:sz w:val="20"/>
                <w:szCs w:val="20"/>
              </w:rPr>
              <w:t>4</w:t>
            </w:r>
          </w:p>
        </w:tc>
        <w:tc>
          <w:tcPr>
            <w:tcW w:w="924" w:type="dxa"/>
            <w:vAlign w:val="bottom"/>
          </w:tcPr>
          <w:p w14:paraId="02851B18" w14:textId="77777777" w:rsidR="00875D81" w:rsidRPr="00644568" w:rsidRDefault="00875D81" w:rsidP="00875D81">
            <w:pPr>
              <w:spacing w:after="0" w:line="240" w:lineRule="auto"/>
              <w:jc w:val="center"/>
              <w:rPr>
                <w:rFonts w:asciiTheme="majorHAnsi" w:hAnsiTheme="majorHAnsi"/>
                <w:sz w:val="20"/>
                <w:szCs w:val="20"/>
              </w:rPr>
            </w:pPr>
            <w:r w:rsidRPr="00644568">
              <w:rPr>
                <w:rFonts w:asciiTheme="majorHAnsi" w:eastAsia="Times New Roman" w:hAnsiTheme="majorHAnsi" w:cs="Times New Roman"/>
                <w:color w:val="000000"/>
                <w:sz w:val="20"/>
                <w:szCs w:val="20"/>
              </w:rPr>
              <w:t>5</w:t>
            </w:r>
          </w:p>
        </w:tc>
        <w:tc>
          <w:tcPr>
            <w:tcW w:w="924" w:type="dxa"/>
            <w:vAlign w:val="bottom"/>
          </w:tcPr>
          <w:p w14:paraId="476D211D" w14:textId="77777777" w:rsidR="00875D81" w:rsidRPr="00644568" w:rsidRDefault="00875D81" w:rsidP="00875D81">
            <w:pPr>
              <w:spacing w:after="0" w:line="240" w:lineRule="auto"/>
              <w:jc w:val="center"/>
              <w:rPr>
                <w:rFonts w:asciiTheme="majorHAnsi" w:hAnsiTheme="majorHAnsi"/>
                <w:sz w:val="20"/>
                <w:szCs w:val="20"/>
              </w:rPr>
            </w:pPr>
            <w:r w:rsidRPr="00644568">
              <w:rPr>
                <w:rFonts w:asciiTheme="majorHAnsi" w:eastAsia="Times New Roman" w:hAnsiTheme="majorHAnsi" w:cs="Times New Roman"/>
                <w:color w:val="000000"/>
                <w:sz w:val="20"/>
                <w:szCs w:val="20"/>
              </w:rPr>
              <w:t>6</w:t>
            </w:r>
          </w:p>
        </w:tc>
        <w:tc>
          <w:tcPr>
            <w:tcW w:w="925" w:type="dxa"/>
            <w:vAlign w:val="bottom"/>
          </w:tcPr>
          <w:p w14:paraId="409C349F" w14:textId="77777777" w:rsidR="00875D81" w:rsidRPr="00644568" w:rsidRDefault="00875D81" w:rsidP="00875D81">
            <w:pPr>
              <w:spacing w:after="0" w:line="240" w:lineRule="auto"/>
              <w:jc w:val="center"/>
              <w:rPr>
                <w:rFonts w:asciiTheme="majorHAnsi" w:hAnsiTheme="majorHAnsi"/>
                <w:sz w:val="20"/>
                <w:szCs w:val="20"/>
              </w:rPr>
            </w:pPr>
            <w:r w:rsidRPr="00644568">
              <w:rPr>
                <w:rFonts w:asciiTheme="majorHAnsi" w:eastAsia="Times New Roman" w:hAnsiTheme="majorHAnsi" w:cs="Times New Roman"/>
                <w:color w:val="000000"/>
                <w:sz w:val="20"/>
                <w:szCs w:val="20"/>
              </w:rPr>
              <w:t>7</w:t>
            </w:r>
          </w:p>
        </w:tc>
      </w:tr>
      <w:tr w:rsidR="00875D81" w:rsidRPr="00644568" w14:paraId="1464E859" w14:textId="77777777" w:rsidTr="00875D81">
        <w:tc>
          <w:tcPr>
            <w:tcW w:w="1696" w:type="dxa"/>
            <w:vAlign w:val="bottom"/>
          </w:tcPr>
          <w:p w14:paraId="42C30BE4" w14:textId="77777777" w:rsidR="00875D81" w:rsidRPr="00644568" w:rsidRDefault="00875D81" w:rsidP="00875D81">
            <w:pPr>
              <w:pStyle w:val="ListParagraph"/>
              <w:spacing w:after="0" w:line="240" w:lineRule="auto"/>
              <w:ind w:left="0"/>
              <w:rPr>
                <w:rFonts w:asciiTheme="majorHAnsi" w:hAnsiTheme="majorHAnsi"/>
                <w:sz w:val="20"/>
                <w:szCs w:val="20"/>
              </w:rPr>
            </w:pPr>
            <w:r w:rsidRPr="00644568">
              <w:rPr>
                <w:rFonts w:asciiTheme="majorHAnsi" w:eastAsia="Times New Roman" w:hAnsiTheme="majorHAnsi" w:cs="Times New Roman"/>
                <w:color w:val="000000"/>
                <w:sz w:val="20"/>
                <w:szCs w:val="20"/>
              </w:rPr>
              <w:t>MTB</w:t>
            </w:r>
          </w:p>
        </w:tc>
        <w:tc>
          <w:tcPr>
            <w:tcW w:w="851" w:type="dxa"/>
            <w:vAlign w:val="bottom"/>
          </w:tcPr>
          <w:p w14:paraId="4FAC131A" w14:textId="77777777" w:rsidR="00875D81" w:rsidRPr="00644568" w:rsidRDefault="00875D81" w:rsidP="00875D81">
            <w:pPr>
              <w:pStyle w:val="ListParagraph"/>
              <w:spacing w:after="0" w:line="240" w:lineRule="auto"/>
              <w:ind w:left="0"/>
              <w:jc w:val="center"/>
              <w:rPr>
                <w:rFonts w:asciiTheme="majorHAnsi" w:hAnsiTheme="majorHAnsi"/>
                <w:sz w:val="20"/>
                <w:szCs w:val="20"/>
              </w:rPr>
            </w:pPr>
            <w:r>
              <w:rPr>
                <w:rFonts w:asciiTheme="majorHAnsi" w:eastAsia="Times New Roman" w:hAnsiTheme="majorHAnsi" w:cs="Times New Roman"/>
                <w:color w:val="000000"/>
                <w:sz w:val="20"/>
                <w:szCs w:val="20"/>
              </w:rPr>
              <w:t>8</w:t>
            </w:r>
          </w:p>
        </w:tc>
        <w:tc>
          <w:tcPr>
            <w:tcW w:w="1276" w:type="dxa"/>
            <w:vAlign w:val="bottom"/>
          </w:tcPr>
          <w:p w14:paraId="1765AE28" w14:textId="77777777" w:rsidR="00875D81" w:rsidRPr="00644568" w:rsidRDefault="00875D81" w:rsidP="00875D81">
            <w:pPr>
              <w:pStyle w:val="ListParagraph"/>
              <w:spacing w:after="0" w:line="240" w:lineRule="auto"/>
              <w:ind w:left="0"/>
              <w:jc w:val="center"/>
              <w:rPr>
                <w:rFonts w:asciiTheme="majorHAnsi" w:hAnsiTheme="majorHAnsi"/>
                <w:sz w:val="20"/>
                <w:szCs w:val="20"/>
              </w:rPr>
            </w:pPr>
            <w:r>
              <w:rPr>
                <w:rFonts w:asciiTheme="majorHAnsi" w:eastAsia="Times New Roman" w:hAnsiTheme="majorHAnsi" w:cs="Times New Roman"/>
                <w:color w:val="000000"/>
                <w:sz w:val="20"/>
                <w:szCs w:val="20"/>
              </w:rPr>
              <w:t>16</w:t>
            </w:r>
          </w:p>
        </w:tc>
        <w:tc>
          <w:tcPr>
            <w:tcW w:w="924" w:type="dxa"/>
            <w:vAlign w:val="bottom"/>
          </w:tcPr>
          <w:p w14:paraId="32D6E29D" w14:textId="77777777" w:rsidR="00875D81" w:rsidRPr="00644568" w:rsidRDefault="00875D81" w:rsidP="00875D81">
            <w:pPr>
              <w:pStyle w:val="ListParagraph"/>
              <w:spacing w:after="0" w:line="240" w:lineRule="auto"/>
              <w:ind w:left="0"/>
              <w:jc w:val="center"/>
              <w:rPr>
                <w:rFonts w:asciiTheme="majorHAnsi" w:hAnsiTheme="majorHAnsi"/>
                <w:sz w:val="20"/>
                <w:szCs w:val="20"/>
              </w:rPr>
            </w:pPr>
            <w:r>
              <w:rPr>
                <w:rFonts w:asciiTheme="majorHAnsi" w:eastAsia="Times New Roman" w:hAnsiTheme="majorHAnsi" w:cs="Times New Roman"/>
                <w:color w:val="000000"/>
                <w:sz w:val="20"/>
                <w:szCs w:val="20"/>
              </w:rPr>
              <w:t>8</w:t>
            </w:r>
          </w:p>
        </w:tc>
        <w:tc>
          <w:tcPr>
            <w:tcW w:w="924" w:type="dxa"/>
            <w:vAlign w:val="bottom"/>
          </w:tcPr>
          <w:p w14:paraId="78C06FB5" w14:textId="77777777" w:rsidR="00875D81" w:rsidRPr="00644568" w:rsidRDefault="00875D81" w:rsidP="00875D81">
            <w:pPr>
              <w:pStyle w:val="ListParagraph"/>
              <w:spacing w:after="0" w:line="240" w:lineRule="auto"/>
              <w:ind w:left="0"/>
              <w:jc w:val="center"/>
              <w:rPr>
                <w:rFonts w:asciiTheme="majorHAnsi" w:hAnsiTheme="majorHAnsi"/>
                <w:sz w:val="20"/>
                <w:szCs w:val="20"/>
              </w:rPr>
            </w:pPr>
            <w:r>
              <w:rPr>
                <w:rFonts w:asciiTheme="majorHAnsi" w:hAnsiTheme="majorHAnsi"/>
                <w:sz w:val="20"/>
                <w:szCs w:val="20"/>
              </w:rPr>
              <w:t>16</w:t>
            </w:r>
          </w:p>
        </w:tc>
        <w:tc>
          <w:tcPr>
            <w:tcW w:w="924" w:type="dxa"/>
            <w:vAlign w:val="bottom"/>
          </w:tcPr>
          <w:p w14:paraId="098A6852" w14:textId="77777777" w:rsidR="00875D81" w:rsidRPr="00644568" w:rsidRDefault="00875D81" w:rsidP="00875D81">
            <w:pPr>
              <w:pStyle w:val="ListParagraph"/>
              <w:spacing w:after="0" w:line="240" w:lineRule="auto"/>
              <w:ind w:left="0"/>
              <w:jc w:val="center"/>
              <w:rPr>
                <w:rFonts w:asciiTheme="majorHAnsi" w:hAnsiTheme="majorHAnsi"/>
                <w:sz w:val="20"/>
                <w:szCs w:val="20"/>
              </w:rPr>
            </w:pPr>
            <w:r>
              <w:rPr>
                <w:rFonts w:asciiTheme="majorHAnsi" w:eastAsia="Times New Roman" w:hAnsiTheme="majorHAnsi" w:cs="Times New Roman"/>
                <w:color w:val="000000"/>
                <w:sz w:val="20"/>
                <w:szCs w:val="20"/>
              </w:rPr>
              <w:t>24</w:t>
            </w:r>
          </w:p>
        </w:tc>
        <w:tc>
          <w:tcPr>
            <w:tcW w:w="924" w:type="dxa"/>
            <w:vAlign w:val="bottom"/>
          </w:tcPr>
          <w:p w14:paraId="1DD0C51E" w14:textId="77777777" w:rsidR="00875D81" w:rsidRPr="00644568" w:rsidRDefault="00875D81" w:rsidP="00875D81">
            <w:pPr>
              <w:pStyle w:val="ListParagraph"/>
              <w:spacing w:after="0" w:line="240" w:lineRule="auto"/>
              <w:ind w:left="0"/>
              <w:jc w:val="center"/>
              <w:rPr>
                <w:rFonts w:asciiTheme="majorHAnsi" w:hAnsiTheme="majorHAnsi"/>
                <w:sz w:val="20"/>
                <w:szCs w:val="20"/>
              </w:rPr>
            </w:pPr>
            <w:r>
              <w:rPr>
                <w:rFonts w:asciiTheme="majorHAnsi" w:eastAsia="Times New Roman" w:hAnsiTheme="majorHAnsi" w:cs="Times New Roman"/>
                <w:color w:val="000000"/>
                <w:sz w:val="20"/>
                <w:szCs w:val="20"/>
              </w:rPr>
              <w:t>32</w:t>
            </w:r>
          </w:p>
        </w:tc>
        <w:tc>
          <w:tcPr>
            <w:tcW w:w="924" w:type="dxa"/>
            <w:vAlign w:val="bottom"/>
          </w:tcPr>
          <w:p w14:paraId="6D26D3A2" w14:textId="77777777" w:rsidR="00875D81" w:rsidRPr="00644568" w:rsidRDefault="00875D81" w:rsidP="00875D81">
            <w:pPr>
              <w:spacing w:after="0" w:line="240" w:lineRule="auto"/>
              <w:jc w:val="center"/>
              <w:rPr>
                <w:rFonts w:asciiTheme="majorHAnsi" w:hAnsiTheme="majorHAnsi"/>
                <w:sz w:val="20"/>
                <w:szCs w:val="20"/>
              </w:rPr>
            </w:pPr>
            <w:r>
              <w:rPr>
                <w:rFonts w:asciiTheme="majorHAnsi" w:eastAsia="Times New Roman" w:hAnsiTheme="majorHAnsi" w:cs="Times New Roman"/>
                <w:color w:val="000000"/>
                <w:sz w:val="20"/>
                <w:szCs w:val="20"/>
              </w:rPr>
              <w:t>40</w:t>
            </w:r>
          </w:p>
        </w:tc>
        <w:tc>
          <w:tcPr>
            <w:tcW w:w="924" w:type="dxa"/>
            <w:vAlign w:val="bottom"/>
          </w:tcPr>
          <w:p w14:paraId="0591CF7D" w14:textId="77777777" w:rsidR="00875D81" w:rsidRPr="00644568" w:rsidRDefault="00875D81" w:rsidP="00875D81">
            <w:pPr>
              <w:spacing w:after="0" w:line="240" w:lineRule="auto"/>
              <w:jc w:val="center"/>
              <w:rPr>
                <w:rFonts w:asciiTheme="majorHAnsi" w:hAnsiTheme="majorHAnsi"/>
                <w:sz w:val="20"/>
                <w:szCs w:val="20"/>
              </w:rPr>
            </w:pPr>
            <w:r>
              <w:rPr>
                <w:rFonts w:asciiTheme="majorHAnsi" w:eastAsia="Times New Roman" w:hAnsiTheme="majorHAnsi" w:cs="Times New Roman"/>
                <w:color w:val="000000"/>
                <w:sz w:val="20"/>
                <w:szCs w:val="20"/>
              </w:rPr>
              <w:t>48</w:t>
            </w:r>
          </w:p>
        </w:tc>
        <w:tc>
          <w:tcPr>
            <w:tcW w:w="925" w:type="dxa"/>
            <w:vAlign w:val="bottom"/>
          </w:tcPr>
          <w:p w14:paraId="45D19599" w14:textId="77777777" w:rsidR="00875D81" w:rsidRPr="00644568" w:rsidRDefault="00875D81" w:rsidP="00875D81">
            <w:pPr>
              <w:spacing w:after="0" w:line="240" w:lineRule="auto"/>
              <w:jc w:val="center"/>
              <w:rPr>
                <w:rFonts w:asciiTheme="majorHAnsi" w:hAnsiTheme="majorHAnsi"/>
                <w:sz w:val="20"/>
                <w:szCs w:val="20"/>
              </w:rPr>
            </w:pPr>
            <w:r>
              <w:rPr>
                <w:rFonts w:asciiTheme="majorHAnsi" w:eastAsia="Times New Roman" w:hAnsiTheme="majorHAnsi" w:cs="Times New Roman"/>
                <w:color w:val="000000"/>
                <w:sz w:val="20"/>
                <w:szCs w:val="20"/>
              </w:rPr>
              <w:t>56</w:t>
            </w:r>
          </w:p>
        </w:tc>
      </w:tr>
      <w:tr w:rsidR="00875D81" w:rsidRPr="00644568" w14:paraId="38B4A216" w14:textId="77777777" w:rsidTr="00875D81">
        <w:tc>
          <w:tcPr>
            <w:tcW w:w="1696" w:type="dxa"/>
            <w:vAlign w:val="bottom"/>
          </w:tcPr>
          <w:p w14:paraId="7E326908" w14:textId="77777777" w:rsidR="00875D81" w:rsidRPr="00644568" w:rsidRDefault="00875D81" w:rsidP="00875D81">
            <w:pPr>
              <w:pStyle w:val="ListParagraph"/>
              <w:spacing w:after="0" w:line="240" w:lineRule="auto"/>
              <w:ind w:left="0"/>
              <w:rPr>
                <w:rFonts w:asciiTheme="majorHAnsi" w:hAnsiTheme="majorHAnsi"/>
                <w:sz w:val="20"/>
                <w:szCs w:val="20"/>
              </w:rPr>
            </w:pPr>
            <w:r w:rsidRPr="00644568">
              <w:rPr>
                <w:rFonts w:asciiTheme="majorHAnsi" w:eastAsia="Times New Roman" w:hAnsiTheme="majorHAnsi" w:cs="Times New Roman"/>
                <w:color w:val="000000"/>
                <w:sz w:val="20"/>
                <w:szCs w:val="20"/>
              </w:rPr>
              <w:t>HTB</w:t>
            </w:r>
          </w:p>
        </w:tc>
        <w:tc>
          <w:tcPr>
            <w:tcW w:w="851" w:type="dxa"/>
            <w:vAlign w:val="bottom"/>
          </w:tcPr>
          <w:p w14:paraId="6EF45BC7" w14:textId="77777777" w:rsidR="00875D81" w:rsidRPr="00644568" w:rsidRDefault="00875D81" w:rsidP="00875D81">
            <w:pPr>
              <w:pStyle w:val="ListParagraph"/>
              <w:spacing w:after="0" w:line="240" w:lineRule="auto"/>
              <w:ind w:left="0"/>
              <w:jc w:val="center"/>
              <w:rPr>
                <w:rFonts w:asciiTheme="majorHAnsi" w:hAnsiTheme="majorHAnsi"/>
                <w:sz w:val="20"/>
                <w:szCs w:val="20"/>
              </w:rPr>
            </w:pPr>
            <w:r>
              <w:rPr>
                <w:rFonts w:asciiTheme="majorHAnsi" w:eastAsia="Times New Roman" w:hAnsiTheme="majorHAnsi" w:cs="Times New Roman"/>
                <w:color w:val="000000"/>
                <w:sz w:val="20"/>
                <w:szCs w:val="20"/>
              </w:rPr>
              <w:t>16</w:t>
            </w:r>
          </w:p>
        </w:tc>
        <w:tc>
          <w:tcPr>
            <w:tcW w:w="1276" w:type="dxa"/>
            <w:vAlign w:val="bottom"/>
          </w:tcPr>
          <w:p w14:paraId="2F71D582" w14:textId="77777777" w:rsidR="00875D81" w:rsidRPr="00644568" w:rsidRDefault="00875D81" w:rsidP="00875D81">
            <w:pPr>
              <w:pStyle w:val="ListParagraph"/>
              <w:spacing w:after="0" w:line="240" w:lineRule="auto"/>
              <w:ind w:left="0"/>
              <w:jc w:val="center"/>
              <w:rPr>
                <w:rFonts w:asciiTheme="majorHAnsi" w:hAnsiTheme="majorHAnsi"/>
                <w:sz w:val="20"/>
                <w:szCs w:val="20"/>
              </w:rPr>
            </w:pPr>
            <w:r>
              <w:rPr>
                <w:rFonts w:asciiTheme="majorHAnsi" w:eastAsia="Times New Roman" w:hAnsiTheme="majorHAnsi" w:cs="Times New Roman"/>
                <w:color w:val="000000"/>
                <w:sz w:val="20"/>
                <w:szCs w:val="20"/>
              </w:rPr>
              <w:t>16</w:t>
            </w:r>
          </w:p>
        </w:tc>
        <w:tc>
          <w:tcPr>
            <w:tcW w:w="924" w:type="dxa"/>
            <w:vAlign w:val="bottom"/>
          </w:tcPr>
          <w:p w14:paraId="3D18AB93" w14:textId="77777777" w:rsidR="00875D81" w:rsidRPr="00644568" w:rsidRDefault="00875D81" w:rsidP="00875D81">
            <w:pPr>
              <w:pStyle w:val="ListParagraph"/>
              <w:spacing w:after="0" w:line="240" w:lineRule="auto"/>
              <w:ind w:left="0"/>
              <w:jc w:val="center"/>
              <w:rPr>
                <w:rFonts w:asciiTheme="majorHAnsi" w:hAnsiTheme="majorHAnsi"/>
                <w:sz w:val="20"/>
                <w:szCs w:val="20"/>
              </w:rPr>
            </w:pPr>
            <w:r>
              <w:rPr>
                <w:rFonts w:asciiTheme="majorHAnsi" w:eastAsia="Times New Roman" w:hAnsiTheme="majorHAnsi" w:cs="Times New Roman"/>
                <w:color w:val="000000"/>
                <w:sz w:val="20"/>
                <w:szCs w:val="20"/>
              </w:rPr>
              <w:t>8</w:t>
            </w:r>
          </w:p>
        </w:tc>
        <w:tc>
          <w:tcPr>
            <w:tcW w:w="924" w:type="dxa"/>
            <w:vAlign w:val="bottom"/>
          </w:tcPr>
          <w:p w14:paraId="767B0DF3" w14:textId="77777777" w:rsidR="00875D81" w:rsidRPr="00644568" w:rsidRDefault="00875D81" w:rsidP="00875D81">
            <w:pPr>
              <w:pStyle w:val="ListParagraph"/>
              <w:spacing w:after="0" w:line="240" w:lineRule="auto"/>
              <w:ind w:left="0"/>
              <w:jc w:val="center"/>
              <w:rPr>
                <w:rFonts w:asciiTheme="majorHAnsi" w:hAnsiTheme="majorHAnsi"/>
                <w:sz w:val="20"/>
                <w:szCs w:val="20"/>
              </w:rPr>
            </w:pPr>
            <w:r>
              <w:rPr>
                <w:rFonts w:asciiTheme="majorHAnsi" w:hAnsiTheme="majorHAnsi"/>
                <w:sz w:val="20"/>
                <w:szCs w:val="20"/>
              </w:rPr>
              <w:t>16</w:t>
            </w:r>
          </w:p>
        </w:tc>
        <w:tc>
          <w:tcPr>
            <w:tcW w:w="924" w:type="dxa"/>
            <w:vAlign w:val="bottom"/>
          </w:tcPr>
          <w:p w14:paraId="69D32487" w14:textId="77777777" w:rsidR="00875D81" w:rsidRPr="00644568" w:rsidRDefault="00875D81" w:rsidP="00875D81">
            <w:pPr>
              <w:pStyle w:val="ListParagraph"/>
              <w:spacing w:after="0" w:line="240" w:lineRule="auto"/>
              <w:ind w:left="0"/>
              <w:jc w:val="center"/>
              <w:rPr>
                <w:rFonts w:asciiTheme="majorHAnsi" w:hAnsiTheme="majorHAnsi"/>
                <w:sz w:val="20"/>
                <w:szCs w:val="20"/>
              </w:rPr>
            </w:pPr>
            <w:r>
              <w:rPr>
                <w:rFonts w:asciiTheme="majorHAnsi" w:eastAsia="Times New Roman" w:hAnsiTheme="majorHAnsi" w:cs="Times New Roman"/>
                <w:color w:val="000000"/>
                <w:sz w:val="20"/>
                <w:szCs w:val="20"/>
              </w:rPr>
              <w:t>24</w:t>
            </w:r>
          </w:p>
        </w:tc>
        <w:tc>
          <w:tcPr>
            <w:tcW w:w="924" w:type="dxa"/>
            <w:vAlign w:val="bottom"/>
          </w:tcPr>
          <w:p w14:paraId="642D359E" w14:textId="77777777" w:rsidR="00875D81" w:rsidRPr="00644568" w:rsidRDefault="00875D81" w:rsidP="00875D81">
            <w:pPr>
              <w:pStyle w:val="ListParagraph"/>
              <w:spacing w:after="0" w:line="240" w:lineRule="auto"/>
              <w:ind w:left="0"/>
              <w:jc w:val="center"/>
              <w:rPr>
                <w:rFonts w:asciiTheme="majorHAnsi" w:hAnsiTheme="majorHAnsi"/>
                <w:sz w:val="20"/>
                <w:szCs w:val="20"/>
              </w:rPr>
            </w:pPr>
            <w:r>
              <w:rPr>
                <w:rFonts w:asciiTheme="majorHAnsi" w:eastAsia="Times New Roman" w:hAnsiTheme="majorHAnsi" w:cs="Times New Roman"/>
                <w:color w:val="000000"/>
                <w:sz w:val="20"/>
                <w:szCs w:val="20"/>
              </w:rPr>
              <w:t>32</w:t>
            </w:r>
          </w:p>
        </w:tc>
        <w:tc>
          <w:tcPr>
            <w:tcW w:w="924" w:type="dxa"/>
            <w:vAlign w:val="bottom"/>
          </w:tcPr>
          <w:p w14:paraId="356EE1CA" w14:textId="77777777" w:rsidR="00875D81" w:rsidRPr="00644568" w:rsidRDefault="00875D81" w:rsidP="00875D81">
            <w:pPr>
              <w:spacing w:after="0" w:line="240" w:lineRule="auto"/>
              <w:jc w:val="center"/>
              <w:rPr>
                <w:rFonts w:asciiTheme="majorHAnsi" w:hAnsiTheme="majorHAnsi"/>
                <w:sz w:val="20"/>
                <w:szCs w:val="20"/>
              </w:rPr>
            </w:pPr>
            <w:r>
              <w:rPr>
                <w:rFonts w:asciiTheme="majorHAnsi" w:eastAsia="Times New Roman" w:hAnsiTheme="majorHAnsi" w:cs="Times New Roman"/>
                <w:color w:val="000000"/>
                <w:sz w:val="20"/>
                <w:szCs w:val="20"/>
              </w:rPr>
              <w:t>40</w:t>
            </w:r>
          </w:p>
        </w:tc>
        <w:tc>
          <w:tcPr>
            <w:tcW w:w="924" w:type="dxa"/>
            <w:vAlign w:val="bottom"/>
          </w:tcPr>
          <w:p w14:paraId="79D8D1BB" w14:textId="77777777" w:rsidR="00875D81" w:rsidRPr="00644568" w:rsidRDefault="00875D81" w:rsidP="00875D81">
            <w:pPr>
              <w:spacing w:after="0" w:line="240" w:lineRule="auto"/>
              <w:jc w:val="center"/>
              <w:rPr>
                <w:rFonts w:asciiTheme="majorHAnsi" w:hAnsiTheme="majorHAnsi"/>
                <w:sz w:val="20"/>
                <w:szCs w:val="20"/>
              </w:rPr>
            </w:pPr>
            <w:r>
              <w:rPr>
                <w:rFonts w:asciiTheme="majorHAnsi" w:eastAsia="Times New Roman" w:hAnsiTheme="majorHAnsi" w:cs="Times New Roman"/>
                <w:color w:val="000000"/>
                <w:sz w:val="20"/>
                <w:szCs w:val="20"/>
              </w:rPr>
              <w:t>48</w:t>
            </w:r>
          </w:p>
        </w:tc>
        <w:tc>
          <w:tcPr>
            <w:tcW w:w="925" w:type="dxa"/>
            <w:vAlign w:val="bottom"/>
          </w:tcPr>
          <w:p w14:paraId="0DF2DA7D" w14:textId="77777777" w:rsidR="00875D81" w:rsidRPr="00644568" w:rsidRDefault="00875D81" w:rsidP="00875D81">
            <w:pPr>
              <w:spacing w:after="0" w:line="240" w:lineRule="auto"/>
              <w:jc w:val="center"/>
              <w:rPr>
                <w:rFonts w:asciiTheme="majorHAnsi" w:hAnsiTheme="majorHAnsi"/>
                <w:sz w:val="20"/>
                <w:szCs w:val="20"/>
              </w:rPr>
            </w:pPr>
            <w:r>
              <w:rPr>
                <w:rFonts w:asciiTheme="majorHAnsi" w:eastAsia="Times New Roman" w:hAnsiTheme="majorHAnsi" w:cs="Times New Roman"/>
                <w:color w:val="000000"/>
                <w:sz w:val="20"/>
                <w:szCs w:val="20"/>
              </w:rPr>
              <w:t>56</w:t>
            </w:r>
          </w:p>
        </w:tc>
      </w:tr>
      <w:tr w:rsidR="00875D81" w:rsidRPr="00644568" w14:paraId="0669C9AB" w14:textId="77777777" w:rsidTr="00875D81">
        <w:tc>
          <w:tcPr>
            <w:tcW w:w="1696" w:type="dxa"/>
            <w:vAlign w:val="bottom"/>
          </w:tcPr>
          <w:p w14:paraId="04BAF412" w14:textId="77777777" w:rsidR="00875D81" w:rsidRPr="00644568" w:rsidRDefault="00875D81" w:rsidP="00875D81">
            <w:pPr>
              <w:pStyle w:val="ListParagraph"/>
              <w:spacing w:after="0" w:line="240" w:lineRule="auto"/>
              <w:ind w:left="0"/>
              <w:rPr>
                <w:rFonts w:asciiTheme="majorHAnsi" w:hAnsiTheme="majorHAnsi"/>
                <w:sz w:val="20"/>
                <w:szCs w:val="20"/>
              </w:rPr>
            </w:pPr>
            <w:r w:rsidRPr="00644568">
              <w:rPr>
                <w:rFonts w:asciiTheme="majorHAnsi" w:eastAsia="Times New Roman" w:hAnsiTheme="majorHAnsi" w:cs="Times New Roman"/>
                <w:color w:val="000000"/>
                <w:sz w:val="20"/>
                <w:szCs w:val="20"/>
              </w:rPr>
              <w:t>Heater</w:t>
            </w:r>
          </w:p>
        </w:tc>
        <w:tc>
          <w:tcPr>
            <w:tcW w:w="851" w:type="dxa"/>
            <w:vAlign w:val="bottom"/>
          </w:tcPr>
          <w:p w14:paraId="1332145C" w14:textId="77777777" w:rsidR="00875D81" w:rsidRPr="00644568" w:rsidRDefault="00875D81" w:rsidP="00875D81">
            <w:pPr>
              <w:pStyle w:val="ListParagraph"/>
              <w:spacing w:after="0" w:line="240" w:lineRule="auto"/>
              <w:ind w:left="0"/>
              <w:jc w:val="center"/>
              <w:rPr>
                <w:rFonts w:asciiTheme="majorHAnsi" w:hAnsiTheme="majorHAnsi"/>
                <w:sz w:val="20"/>
                <w:szCs w:val="20"/>
              </w:rPr>
            </w:pPr>
            <w:r w:rsidRPr="00644568">
              <w:rPr>
                <w:rFonts w:asciiTheme="majorHAnsi" w:eastAsia="Times New Roman" w:hAnsiTheme="majorHAnsi" w:cs="Times New Roman"/>
                <w:color w:val="000000"/>
                <w:sz w:val="20"/>
                <w:szCs w:val="20"/>
              </w:rPr>
              <w:t>80</w:t>
            </w:r>
          </w:p>
        </w:tc>
        <w:tc>
          <w:tcPr>
            <w:tcW w:w="1276" w:type="dxa"/>
            <w:vAlign w:val="bottom"/>
          </w:tcPr>
          <w:p w14:paraId="0343BB48" w14:textId="77777777" w:rsidR="00875D81" w:rsidRPr="00644568" w:rsidRDefault="00875D81" w:rsidP="00875D81">
            <w:pPr>
              <w:pStyle w:val="ListParagraph"/>
              <w:spacing w:after="0" w:line="240" w:lineRule="auto"/>
              <w:ind w:left="0"/>
              <w:jc w:val="center"/>
              <w:rPr>
                <w:rFonts w:asciiTheme="majorHAnsi" w:hAnsiTheme="majorHAnsi"/>
                <w:sz w:val="20"/>
                <w:szCs w:val="20"/>
              </w:rPr>
            </w:pPr>
            <w:r w:rsidRPr="00644568">
              <w:rPr>
                <w:rFonts w:asciiTheme="majorHAnsi" w:eastAsia="Times New Roman" w:hAnsiTheme="majorHAnsi" w:cs="Times New Roman"/>
                <w:color w:val="000000"/>
                <w:sz w:val="20"/>
                <w:szCs w:val="20"/>
              </w:rPr>
              <w:t>80</w:t>
            </w:r>
          </w:p>
        </w:tc>
        <w:tc>
          <w:tcPr>
            <w:tcW w:w="6469" w:type="dxa"/>
            <w:gridSpan w:val="7"/>
            <w:vMerge w:val="restart"/>
            <w:vAlign w:val="bottom"/>
          </w:tcPr>
          <w:p w14:paraId="587472ED" w14:textId="77777777" w:rsidR="00875D81" w:rsidRPr="00644568" w:rsidRDefault="00875D81" w:rsidP="00875D81">
            <w:pPr>
              <w:spacing w:after="0" w:line="240" w:lineRule="auto"/>
              <w:jc w:val="center"/>
              <w:rPr>
                <w:rFonts w:asciiTheme="majorHAnsi" w:hAnsiTheme="majorHAnsi"/>
                <w:sz w:val="20"/>
                <w:szCs w:val="20"/>
              </w:rPr>
            </w:pPr>
          </w:p>
        </w:tc>
      </w:tr>
      <w:tr w:rsidR="00875D81" w:rsidRPr="00644568" w14:paraId="45509752" w14:textId="77777777" w:rsidTr="00875D81">
        <w:tc>
          <w:tcPr>
            <w:tcW w:w="1696" w:type="dxa"/>
            <w:vAlign w:val="bottom"/>
          </w:tcPr>
          <w:p w14:paraId="236A47E4" w14:textId="77777777" w:rsidR="00875D81" w:rsidRPr="00644568" w:rsidRDefault="00875D81" w:rsidP="00875D81">
            <w:pPr>
              <w:pStyle w:val="ListParagraph"/>
              <w:spacing w:after="0" w:line="240" w:lineRule="auto"/>
              <w:ind w:left="0"/>
              <w:rPr>
                <w:rFonts w:asciiTheme="majorHAnsi" w:hAnsiTheme="majorHAnsi"/>
                <w:sz w:val="20"/>
                <w:szCs w:val="20"/>
              </w:rPr>
            </w:pPr>
            <w:r w:rsidRPr="00644568">
              <w:rPr>
                <w:rFonts w:asciiTheme="majorHAnsi" w:eastAsia="Times New Roman" w:hAnsiTheme="majorHAnsi" w:cs="Times New Roman"/>
                <w:color w:val="000000"/>
                <w:sz w:val="20"/>
                <w:szCs w:val="20"/>
              </w:rPr>
              <w:t>Bottle</w:t>
            </w:r>
          </w:p>
        </w:tc>
        <w:tc>
          <w:tcPr>
            <w:tcW w:w="851" w:type="dxa"/>
            <w:vAlign w:val="bottom"/>
          </w:tcPr>
          <w:p w14:paraId="3F54B418" w14:textId="77777777" w:rsidR="00875D81" w:rsidRPr="00644568" w:rsidRDefault="00875D81" w:rsidP="00875D81">
            <w:pPr>
              <w:pStyle w:val="ListParagraph"/>
              <w:spacing w:after="0" w:line="240" w:lineRule="auto"/>
              <w:ind w:left="0"/>
              <w:jc w:val="center"/>
              <w:rPr>
                <w:rFonts w:asciiTheme="majorHAnsi" w:hAnsiTheme="majorHAnsi"/>
                <w:sz w:val="20"/>
                <w:szCs w:val="20"/>
              </w:rPr>
            </w:pPr>
            <w:r w:rsidRPr="00644568">
              <w:rPr>
                <w:rFonts w:asciiTheme="majorHAnsi" w:eastAsia="Times New Roman" w:hAnsiTheme="majorHAnsi" w:cs="Times New Roman"/>
                <w:color w:val="000000"/>
                <w:sz w:val="20"/>
                <w:szCs w:val="20"/>
              </w:rPr>
              <w:t>45</w:t>
            </w:r>
          </w:p>
        </w:tc>
        <w:tc>
          <w:tcPr>
            <w:tcW w:w="1276" w:type="dxa"/>
            <w:vAlign w:val="bottom"/>
          </w:tcPr>
          <w:p w14:paraId="2F8DD463" w14:textId="77777777" w:rsidR="00875D81" w:rsidRPr="00644568" w:rsidRDefault="00875D81" w:rsidP="00875D81">
            <w:pPr>
              <w:pStyle w:val="ListParagraph"/>
              <w:spacing w:after="0" w:line="240" w:lineRule="auto"/>
              <w:ind w:left="0"/>
              <w:jc w:val="center"/>
              <w:rPr>
                <w:rFonts w:asciiTheme="majorHAnsi" w:hAnsiTheme="majorHAnsi"/>
                <w:sz w:val="20"/>
                <w:szCs w:val="20"/>
              </w:rPr>
            </w:pPr>
            <w:r w:rsidRPr="00644568">
              <w:rPr>
                <w:rFonts w:asciiTheme="majorHAnsi" w:eastAsia="Times New Roman" w:hAnsiTheme="majorHAnsi" w:cs="Times New Roman"/>
                <w:color w:val="000000"/>
                <w:sz w:val="20"/>
                <w:szCs w:val="20"/>
              </w:rPr>
              <w:t>45</w:t>
            </w:r>
          </w:p>
        </w:tc>
        <w:tc>
          <w:tcPr>
            <w:tcW w:w="6469" w:type="dxa"/>
            <w:gridSpan w:val="7"/>
            <w:vMerge/>
            <w:vAlign w:val="bottom"/>
          </w:tcPr>
          <w:p w14:paraId="6F19A15E" w14:textId="77777777" w:rsidR="00875D81" w:rsidRPr="00644568" w:rsidRDefault="00875D81" w:rsidP="00875D81">
            <w:pPr>
              <w:spacing w:after="0" w:line="240" w:lineRule="auto"/>
              <w:jc w:val="center"/>
              <w:rPr>
                <w:rFonts w:asciiTheme="majorHAnsi" w:hAnsiTheme="majorHAnsi"/>
                <w:sz w:val="20"/>
                <w:szCs w:val="20"/>
              </w:rPr>
            </w:pPr>
          </w:p>
        </w:tc>
      </w:tr>
      <w:tr w:rsidR="00875D81" w:rsidRPr="00644568" w14:paraId="3382515E" w14:textId="77777777" w:rsidTr="00875D81">
        <w:tc>
          <w:tcPr>
            <w:tcW w:w="1696" w:type="dxa"/>
            <w:tcBorders>
              <w:bottom w:val="single" w:sz="18" w:space="0" w:color="auto"/>
            </w:tcBorders>
            <w:vAlign w:val="bottom"/>
          </w:tcPr>
          <w:p w14:paraId="3FCA0E83" w14:textId="77777777" w:rsidR="00875D81" w:rsidRPr="00644568" w:rsidRDefault="00875D81" w:rsidP="00875D81">
            <w:pPr>
              <w:pStyle w:val="ListParagraph"/>
              <w:spacing w:after="0" w:line="240" w:lineRule="auto"/>
              <w:ind w:left="0"/>
              <w:rPr>
                <w:rFonts w:asciiTheme="majorHAnsi" w:hAnsiTheme="majorHAnsi"/>
                <w:sz w:val="20"/>
                <w:szCs w:val="20"/>
              </w:rPr>
            </w:pPr>
            <w:r w:rsidRPr="00644568">
              <w:rPr>
                <w:rFonts w:asciiTheme="majorHAnsi" w:eastAsia="Times New Roman" w:hAnsiTheme="majorHAnsi" w:cs="Times New Roman"/>
                <w:color w:val="000000"/>
                <w:sz w:val="20"/>
                <w:szCs w:val="20"/>
              </w:rPr>
              <w:t>Refill</w:t>
            </w:r>
          </w:p>
        </w:tc>
        <w:tc>
          <w:tcPr>
            <w:tcW w:w="851" w:type="dxa"/>
            <w:tcBorders>
              <w:bottom w:val="single" w:sz="18" w:space="0" w:color="auto"/>
            </w:tcBorders>
            <w:vAlign w:val="bottom"/>
          </w:tcPr>
          <w:p w14:paraId="459B9CBE" w14:textId="77777777" w:rsidR="00875D81" w:rsidRPr="00644568" w:rsidRDefault="00875D81" w:rsidP="00875D81">
            <w:pPr>
              <w:pStyle w:val="ListParagraph"/>
              <w:spacing w:after="0" w:line="240" w:lineRule="auto"/>
              <w:ind w:left="0"/>
              <w:jc w:val="center"/>
              <w:rPr>
                <w:rFonts w:asciiTheme="majorHAnsi" w:hAnsiTheme="majorHAnsi"/>
                <w:sz w:val="20"/>
                <w:szCs w:val="20"/>
              </w:rPr>
            </w:pPr>
            <w:r w:rsidRPr="00644568">
              <w:rPr>
                <w:rFonts w:asciiTheme="majorHAnsi" w:eastAsia="Times New Roman" w:hAnsiTheme="majorHAnsi" w:cs="Times New Roman"/>
                <w:color w:val="000000"/>
                <w:sz w:val="20"/>
                <w:szCs w:val="20"/>
              </w:rPr>
              <w:t>10</w:t>
            </w:r>
          </w:p>
        </w:tc>
        <w:tc>
          <w:tcPr>
            <w:tcW w:w="1276" w:type="dxa"/>
            <w:tcBorders>
              <w:bottom w:val="single" w:sz="18" w:space="0" w:color="auto"/>
            </w:tcBorders>
            <w:vAlign w:val="bottom"/>
          </w:tcPr>
          <w:p w14:paraId="7DD9071A" w14:textId="77777777" w:rsidR="00875D81" w:rsidRPr="00644568" w:rsidRDefault="00875D81" w:rsidP="00875D81">
            <w:pPr>
              <w:pStyle w:val="ListParagraph"/>
              <w:spacing w:after="0" w:line="240" w:lineRule="auto"/>
              <w:ind w:left="0"/>
              <w:jc w:val="center"/>
              <w:rPr>
                <w:rFonts w:asciiTheme="majorHAnsi" w:hAnsiTheme="majorHAnsi"/>
                <w:sz w:val="20"/>
                <w:szCs w:val="20"/>
              </w:rPr>
            </w:pPr>
            <w:r w:rsidRPr="00644568">
              <w:rPr>
                <w:rFonts w:asciiTheme="majorHAnsi" w:eastAsia="Times New Roman" w:hAnsiTheme="majorHAnsi" w:cs="Times New Roman"/>
                <w:color w:val="000000"/>
                <w:sz w:val="20"/>
                <w:szCs w:val="20"/>
              </w:rPr>
              <w:t>160</w:t>
            </w:r>
          </w:p>
        </w:tc>
        <w:tc>
          <w:tcPr>
            <w:tcW w:w="6469" w:type="dxa"/>
            <w:gridSpan w:val="7"/>
            <w:vMerge/>
            <w:vAlign w:val="bottom"/>
          </w:tcPr>
          <w:p w14:paraId="09F267BC" w14:textId="77777777" w:rsidR="00875D81" w:rsidRPr="00644568" w:rsidRDefault="00875D81" w:rsidP="00875D81">
            <w:pPr>
              <w:spacing w:after="0" w:line="240" w:lineRule="auto"/>
              <w:jc w:val="center"/>
              <w:rPr>
                <w:rFonts w:asciiTheme="majorHAnsi" w:hAnsiTheme="majorHAnsi"/>
                <w:sz w:val="20"/>
                <w:szCs w:val="20"/>
              </w:rPr>
            </w:pPr>
          </w:p>
        </w:tc>
      </w:tr>
      <w:tr w:rsidR="00875D81" w:rsidRPr="00644568" w14:paraId="7AD552E4" w14:textId="77777777" w:rsidTr="00875D81">
        <w:tc>
          <w:tcPr>
            <w:tcW w:w="1696" w:type="dxa"/>
            <w:tcBorders>
              <w:top w:val="single" w:sz="18" w:space="0" w:color="auto"/>
            </w:tcBorders>
            <w:vAlign w:val="bottom"/>
          </w:tcPr>
          <w:p w14:paraId="29785439" w14:textId="77777777" w:rsidR="00875D81" w:rsidRPr="00644568" w:rsidRDefault="00875D81" w:rsidP="00875D81">
            <w:pPr>
              <w:pStyle w:val="ListParagraph"/>
              <w:spacing w:after="0" w:line="240" w:lineRule="auto"/>
              <w:ind w:left="0"/>
              <w:rPr>
                <w:rFonts w:asciiTheme="majorHAnsi" w:hAnsiTheme="majorHAnsi"/>
                <w:sz w:val="20"/>
                <w:szCs w:val="20"/>
              </w:rPr>
            </w:pPr>
            <w:r w:rsidRPr="00644568">
              <w:rPr>
                <w:rFonts w:asciiTheme="majorHAnsi" w:eastAsia="Times New Roman" w:hAnsiTheme="majorHAnsi" w:cs="Times New Roman"/>
                <w:color w:val="000000"/>
                <w:sz w:val="20"/>
                <w:szCs w:val="20"/>
              </w:rPr>
              <w:t>Pro-rated heater + gas</w:t>
            </w:r>
            <w:r>
              <w:rPr>
                <w:rFonts w:asciiTheme="majorHAnsi" w:eastAsia="Times New Roman" w:hAnsiTheme="majorHAnsi" w:cs="Times New Roman"/>
                <w:color w:val="000000"/>
                <w:sz w:val="20"/>
                <w:szCs w:val="20"/>
              </w:rPr>
              <w:t xml:space="preserve"> + refill</w:t>
            </w:r>
          </w:p>
        </w:tc>
        <w:tc>
          <w:tcPr>
            <w:tcW w:w="851" w:type="dxa"/>
            <w:tcBorders>
              <w:top w:val="single" w:sz="18" w:space="0" w:color="auto"/>
            </w:tcBorders>
            <w:vAlign w:val="bottom"/>
          </w:tcPr>
          <w:p w14:paraId="0843D6B8" w14:textId="77777777" w:rsidR="00875D81" w:rsidRPr="00644568" w:rsidRDefault="00875D81" w:rsidP="00875D81">
            <w:pPr>
              <w:pStyle w:val="ListParagraph"/>
              <w:spacing w:after="0" w:line="240" w:lineRule="auto"/>
              <w:ind w:left="0"/>
              <w:jc w:val="center"/>
              <w:rPr>
                <w:rFonts w:asciiTheme="majorHAnsi" w:hAnsiTheme="majorHAnsi"/>
                <w:sz w:val="20"/>
                <w:szCs w:val="20"/>
              </w:rPr>
            </w:pPr>
          </w:p>
        </w:tc>
        <w:tc>
          <w:tcPr>
            <w:tcW w:w="1276" w:type="dxa"/>
            <w:tcBorders>
              <w:top w:val="single" w:sz="18" w:space="0" w:color="auto"/>
            </w:tcBorders>
            <w:vAlign w:val="bottom"/>
          </w:tcPr>
          <w:p w14:paraId="2D90F350" w14:textId="77777777" w:rsidR="00875D81" w:rsidRPr="00644568" w:rsidRDefault="00875D81" w:rsidP="00875D81">
            <w:pPr>
              <w:pStyle w:val="ListParagraph"/>
              <w:spacing w:after="0" w:line="240" w:lineRule="auto"/>
              <w:ind w:left="0"/>
              <w:jc w:val="center"/>
              <w:rPr>
                <w:rFonts w:asciiTheme="majorHAnsi" w:hAnsiTheme="majorHAnsi"/>
                <w:sz w:val="20"/>
                <w:szCs w:val="20"/>
              </w:rPr>
            </w:pPr>
            <w:r w:rsidRPr="00644568">
              <w:rPr>
                <w:rFonts w:asciiTheme="majorHAnsi" w:eastAsia="Times New Roman" w:hAnsiTheme="majorHAnsi" w:cs="Times New Roman"/>
                <w:color w:val="000000"/>
                <w:sz w:val="20"/>
                <w:szCs w:val="20"/>
              </w:rPr>
              <w:t>57</w:t>
            </w:r>
          </w:p>
        </w:tc>
        <w:tc>
          <w:tcPr>
            <w:tcW w:w="924" w:type="dxa"/>
            <w:tcBorders>
              <w:top w:val="single" w:sz="18" w:space="0" w:color="auto"/>
            </w:tcBorders>
            <w:vAlign w:val="bottom"/>
          </w:tcPr>
          <w:p w14:paraId="2CD30CD2" w14:textId="77777777" w:rsidR="00875D81" w:rsidRPr="00644568" w:rsidRDefault="00875D81" w:rsidP="00875D81">
            <w:pPr>
              <w:pStyle w:val="ListParagraph"/>
              <w:spacing w:after="0" w:line="240" w:lineRule="auto"/>
              <w:ind w:left="0"/>
              <w:jc w:val="center"/>
              <w:rPr>
                <w:rFonts w:asciiTheme="majorHAnsi" w:hAnsiTheme="majorHAnsi"/>
                <w:sz w:val="20"/>
                <w:szCs w:val="20"/>
              </w:rPr>
            </w:pPr>
            <w:r w:rsidRPr="00644568">
              <w:rPr>
                <w:rFonts w:asciiTheme="majorHAnsi" w:eastAsia="Times New Roman" w:hAnsiTheme="majorHAnsi" w:cs="Times New Roman"/>
                <w:color w:val="000000"/>
                <w:sz w:val="20"/>
                <w:szCs w:val="20"/>
              </w:rPr>
              <w:t>57</w:t>
            </w:r>
          </w:p>
        </w:tc>
        <w:tc>
          <w:tcPr>
            <w:tcW w:w="924" w:type="dxa"/>
            <w:tcBorders>
              <w:top w:val="single" w:sz="18" w:space="0" w:color="auto"/>
            </w:tcBorders>
            <w:vAlign w:val="bottom"/>
          </w:tcPr>
          <w:p w14:paraId="379F9614" w14:textId="77777777" w:rsidR="00875D81" w:rsidRPr="00644568" w:rsidRDefault="00875D81" w:rsidP="00875D81">
            <w:pPr>
              <w:pStyle w:val="ListParagraph"/>
              <w:spacing w:after="0" w:line="240" w:lineRule="auto"/>
              <w:ind w:left="0"/>
              <w:jc w:val="center"/>
              <w:rPr>
                <w:rFonts w:asciiTheme="majorHAnsi" w:hAnsiTheme="majorHAnsi"/>
                <w:sz w:val="20"/>
                <w:szCs w:val="20"/>
              </w:rPr>
            </w:pPr>
            <w:r w:rsidRPr="00644568">
              <w:rPr>
                <w:rFonts w:asciiTheme="majorHAnsi" w:eastAsia="Times New Roman" w:hAnsiTheme="majorHAnsi" w:cs="Times New Roman"/>
                <w:color w:val="000000"/>
                <w:sz w:val="20"/>
                <w:szCs w:val="20"/>
              </w:rPr>
              <w:t>114</w:t>
            </w:r>
          </w:p>
        </w:tc>
        <w:tc>
          <w:tcPr>
            <w:tcW w:w="924" w:type="dxa"/>
            <w:tcBorders>
              <w:top w:val="single" w:sz="18" w:space="0" w:color="auto"/>
            </w:tcBorders>
            <w:vAlign w:val="bottom"/>
          </w:tcPr>
          <w:p w14:paraId="004D432E" w14:textId="77777777" w:rsidR="00875D81" w:rsidRPr="00644568" w:rsidRDefault="00875D81" w:rsidP="00875D81">
            <w:pPr>
              <w:pStyle w:val="ListParagraph"/>
              <w:spacing w:after="0" w:line="240" w:lineRule="auto"/>
              <w:ind w:left="0"/>
              <w:jc w:val="center"/>
              <w:rPr>
                <w:rFonts w:asciiTheme="majorHAnsi" w:hAnsiTheme="majorHAnsi"/>
                <w:sz w:val="20"/>
                <w:szCs w:val="20"/>
              </w:rPr>
            </w:pPr>
            <w:r w:rsidRPr="00644568">
              <w:rPr>
                <w:rFonts w:asciiTheme="majorHAnsi" w:eastAsia="Times New Roman" w:hAnsiTheme="majorHAnsi" w:cs="Times New Roman"/>
                <w:color w:val="000000"/>
                <w:sz w:val="20"/>
                <w:szCs w:val="20"/>
              </w:rPr>
              <w:t>171</w:t>
            </w:r>
          </w:p>
        </w:tc>
        <w:tc>
          <w:tcPr>
            <w:tcW w:w="924" w:type="dxa"/>
            <w:tcBorders>
              <w:top w:val="single" w:sz="18" w:space="0" w:color="auto"/>
            </w:tcBorders>
            <w:vAlign w:val="bottom"/>
          </w:tcPr>
          <w:p w14:paraId="2F16DAE2" w14:textId="77777777" w:rsidR="00875D81" w:rsidRPr="00644568" w:rsidRDefault="00875D81" w:rsidP="00875D81">
            <w:pPr>
              <w:pStyle w:val="ListParagraph"/>
              <w:spacing w:after="0" w:line="240" w:lineRule="auto"/>
              <w:ind w:left="0"/>
              <w:jc w:val="center"/>
              <w:rPr>
                <w:rFonts w:asciiTheme="majorHAnsi" w:hAnsiTheme="majorHAnsi"/>
                <w:sz w:val="20"/>
                <w:szCs w:val="20"/>
              </w:rPr>
            </w:pPr>
            <w:r w:rsidRPr="00644568">
              <w:rPr>
                <w:rFonts w:asciiTheme="majorHAnsi" w:eastAsia="Times New Roman" w:hAnsiTheme="majorHAnsi" w:cs="Times New Roman"/>
                <w:color w:val="000000"/>
                <w:sz w:val="20"/>
                <w:szCs w:val="20"/>
              </w:rPr>
              <w:t>228</w:t>
            </w:r>
          </w:p>
        </w:tc>
        <w:tc>
          <w:tcPr>
            <w:tcW w:w="924" w:type="dxa"/>
            <w:tcBorders>
              <w:top w:val="single" w:sz="18" w:space="0" w:color="auto"/>
            </w:tcBorders>
            <w:vAlign w:val="bottom"/>
          </w:tcPr>
          <w:p w14:paraId="1AD7D929" w14:textId="77777777" w:rsidR="00875D81" w:rsidRPr="00644568" w:rsidRDefault="00875D81" w:rsidP="00875D81">
            <w:pPr>
              <w:spacing w:after="0" w:line="240" w:lineRule="auto"/>
              <w:jc w:val="center"/>
              <w:rPr>
                <w:rFonts w:asciiTheme="majorHAnsi" w:hAnsiTheme="majorHAnsi"/>
                <w:sz w:val="20"/>
                <w:szCs w:val="20"/>
              </w:rPr>
            </w:pPr>
            <w:r w:rsidRPr="00644568">
              <w:rPr>
                <w:rFonts w:asciiTheme="majorHAnsi" w:eastAsia="Times New Roman" w:hAnsiTheme="majorHAnsi" w:cs="Times New Roman"/>
                <w:color w:val="000000"/>
                <w:sz w:val="20"/>
                <w:szCs w:val="20"/>
              </w:rPr>
              <w:t>285</w:t>
            </w:r>
          </w:p>
        </w:tc>
        <w:tc>
          <w:tcPr>
            <w:tcW w:w="924" w:type="dxa"/>
            <w:tcBorders>
              <w:top w:val="single" w:sz="18" w:space="0" w:color="auto"/>
            </w:tcBorders>
            <w:vAlign w:val="bottom"/>
          </w:tcPr>
          <w:p w14:paraId="65B2BF93" w14:textId="77777777" w:rsidR="00875D81" w:rsidRPr="00644568" w:rsidRDefault="00875D81" w:rsidP="00875D81">
            <w:pPr>
              <w:spacing w:after="0" w:line="240" w:lineRule="auto"/>
              <w:jc w:val="center"/>
              <w:rPr>
                <w:rFonts w:asciiTheme="majorHAnsi" w:hAnsiTheme="majorHAnsi"/>
                <w:sz w:val="20"/>
                <w:szCs w:val="20"/>
              </w:rPr>
            </w:pPr>
            <w:r w:rsidRPr="00644568">
              <w:rPr>
                <w:rFonts w:asciiTheme="majorHAnsi" w:eastAsia="Times New Roman" w:hAnsiTheme="majorHAnsi" w:cs="Times New Roman"/>
                <w:color w:val="000000"/>
                <w:sz w:val="20"/>
                <w:szCs w:val="20"/>
              </w:rPr>
              <w:t>342</w:t>
            </w:r>
          </w:p>
        </w:tc>
        <w:tc>
          <w:tcPr>
            <w:tcW w:w="925" w:type="dxa"/>
            <w:tcBorders>
              <w:top w:val="single" w:sz="18" w:space="0" w:color="auto"/>
            </w:tcBorders>
            <w:vAlign w:val="bottom"/>
          </w:tcPr>
          <w:p w14:paraId="156C67C3" w14:textId="77777777" w:rsidR="00875D81" w:rsidRPr="00644568" w:rsidRDefault="00875D81" w:rsidP="00875D81">
            <w:pPr>
              <w:spacing w:after="0" w:line="240" w:lineRule="auto"/>
              <w:jc w:val="center"/>
              <w:rPr>
                <w:rFonts w:asciiTheme="majorHAnsi" w:hAnsiTheme="majorHAnsi"/>
                <w:sz w:val="20"/>
                <w:szCs w:val="20"/>
              </w:rPr>
            </w:pPr>
            <w:r w:rsidRPr="00644568">
              <w:rPr>
                <w:rFonts w:asciiTheme="majorHAnsi" w:eastAsia="Times New Roman" w:hAnsiTheme="majorHAnsi" w:cs="Times New Roman"/>
                <w:color w:val="000000"/>
                <w:sz w:val="20"/>
                <w:szCs w:val="20"/>
              </w:rPr>
              <w:t>399</w:t>
            </w:r>
          </w:p>
        </w:tc>
      </w:tr>
      <w:tr w:rsidR="00875D81" w:rsidRPr="00644568" w14:paraId="00148B30" w14:textId="77777777" w:rsidTr="00875D81">
        <w:tc>
          <w:tcPr>
            <w:tcW w:w="1696" w:type="dxa"/>
            <w:vAlign w:val="bottom"/>
          </w:tcPr>
          <w:p w14:paraId="64D9F7BA" w14:textId="77777777" w:rsidR="00875D81" w:rsidRPr="00644568" w:rsidRDefault="00875D81" w:rsidP="00875D81">
            <w:pPr>
              <w:pStyle w:val="ListParagraph"/>
              <w:spacing w:after="0" w:line="240" w:lineRule="auto"/>
              <w:ind w:left="0"/>
              <w:rPr>
                <w:rFonts w:asciiTheme="majorHAnsi" w:hAnsiTheme="majorHAnsi"/>
                <w:sz w:val="20"/>
                <w:szCs w:val="20"/>
              </w:rPr>
            </w:pPr>
            <w:r>
              <w:rPr>
                <w:rFonts w:asciiTheme="majorHAnsi" w:eastAsia="Times New Roman" w:hAnsiTheme="majorHAnsi" w:cs="Times New Roman"/>
                <w:color w:val="000000"/>
                <w:sz w:val="20"/>
                <w:szCs w:val="20"/>
              </w:rPr>
              <w:t>Pro-rated refill</w:t>
            </w:r>
          </w:p>
        </w:tc>
        <w:tc>
          <w:tcPr>
            <w:tcW w:w="851" w:type="dxa"/>
            <w:vAlign w:val="bottom"/>
          </w:tcPr>
          <w:p w14:paraId="19018100" w14:textId="77777777" w:rsidR="00875D81" w:rsidRPr="00644568" w:rsidRDefault="00875D81" w:rsidP="00875D81">
            <w:pPr>
              <w:pStyle w:val="ListParagraph"/>
              <w:spacing w:after="0" w:line="240" w:lineRule="auto"/>
              <w:ind w:left="0"/>
              <w:jc w:val="center"/>
              <w:rPr>
                <w:rFonts w:asciiTheme="majorHAnsi" w:hAnsiTheme="majorHAnsi"/>
                <w:sz w:val="20"/>
                <w:szCs w:val="20"/>
              </w:rPr>
            </w:pPr>
          </w:p>
        </w:tc>
        <w:tc>
          <w:tcPr>
            <w:tcW w:w="1276" w:type="dxa"/>
            <w:vAlign w:val="bottom"/>
          </w:tcPr>
          <w:p w14:paraId="69BE9C16" w14:textId="77777777" w:rsidR="00875D81" w:rsidRPr="00644568" w:rsidRDefault="00875D81" w:rsidP="00875D81">
            <w:pPr>
              <w:pStyle w:val="ListParagraph"/>
              <w:spacing w:after="0" w:line="240" w:lineRule="auto"/>
              <w:ind w:left="0"/>
              <w:jc w:val="center"/>
              <w:rPr>
                <w:rFonts w:asciiTheme="majorHAnsi" w:hAnsiTheme="majorHAnsi"/>
                <w:sz w:val="20"/>
                <w:szCs w:val="20"/>
              </w:rPr>
            </w:pPr>
            <w:r>
              <w:rPr>
                <w:rFonts w:asciiTheme="majorHAnsi" w:eastAsia="Times New Roman" w:hAnsiTheme="majorHAnsi" w:cs="Times New Roman"/>
                <w:color w:val="000000"/>
                <w:sz w:val="20"/>
                <w:szCs w:val="20"/>
              </w:rPr>
              <w:t>32</w:t>
            </w:r>
          </w:p>
        </w:tc>
        <w:tc>
          <w:tcPr>
            <w:tcW w:w="924" w:type="dxa"/>
            <w:vAlign w:val="bottom"/>
          </w:tcPr>
          <w:p w14:paraId="5076F5F2" w14:textId="77777777" w:rsidR="00875D81" w:rsidRPr="00644568" w:rsidRDefault="00875D81" w:rsidP="00875D81">
            <w:pPr>
              <w:pStyle w:val="ListParagraph"/>
              <w:spacing w:after="0" w:line="240" w:lineRule="auto"/>
              <w:ind w:left="0"/>
              <w:jc w:val="center"/>
              <w:rPr>
                <w:rFonts w:asciiTheme="majorHAnsi" w:hAnsiTheme="majorHAnsi"/>
                <w:sz w:val="20"/>
                <w:szCs w:val="20"/>
              </w:rPr>
            </w:pPr>
            <w:r>
              <w:rPr>
                <w:rFonts w:asciiTheme="majorHAnsi" w:hAnsiTheme="majorHAnsi"/>
                <w:sz w:val="20"/>
                <w:szCs w:val="20"/>
              </w:rPr>
              <w:t>32</w:t>
            </w:r>
          </w:p>
        </w:tc>
        <w:tc>
          <w:tcPr>
            <w:tcW w:w="924" w:type="dxa"/>
            <w:vAlign w:val="bottom"/>
          </w:tcPr>
          <w:p w14:paraId="7EC62BB6" w14:textId="77777777" w:rsidR="00875D81" w:rsidRPr="00644568" w:rsidRDefault="00875D81" w:rsidP="00875D81">
            <w:pPr>
              <w:pStyle w:val="ListParagraph"/>
              <w:spacing w:after="0" w:line="240" w:lineRule="auto"/>
              <w:ind w:left="0"/>
              <w:jc w:val="center"/>
              <w:rPr>
                <w:rFonts w:asciiTheme="majorHAnsi" w:hAnsiTheme="majorHAnsi"/>
                <w:sz w:val="20"/>
                <w:szCs w:val="20"/>
              </w:rPr>
            </w:pPr>
            <w:r>
              <w:rPr>
                <w:rFonts w:asciiTheme="majorHAnsi" w:hAnsiTheme="majorHAnsi"/>
                <w:sz w:val="20"/>
                <w:szCs w:val="20"/>
              </w:rPr>
              <w:t>64</w:t>
            </w:r>
          </w:p>
        </w:tc>
        <w:tc>
          <w:tcPr>
            <w:tcW w:w="924" w:type="dxa"/>
            <w:vAlign w:val="bottom"/>
          </w:tcPr>
          <w:p w14:paraId="1387ED6A" w14:textId="77777777" w:rsidR="00875D81" w:rsidRPr="00644568" w:rsidRDefault="00875D81" w:rsidP="00875D81">
            <w:pPr>
              <w:pStyle w:val="ListParagraph"/>
              <w:spacing w:after="0" w:line="240" w:lineRule="auto"/>
              <w:ind w:left="0"/>
              <w:jc w:val="center"/>
              <w:rPr>
                <w:rFonts w:asciiTheme="majorHAnsi" w:hAnsiTheme="majorHAnsi"/>
                <w:sz w:val="20"/>
                <w:szCs w:val="20"/>
              </w:rPr>
            </w:pPr>
            <w:r>
              <w:rPr>
                <w:rFonts w:asciiTheme="majorHAnsi" w:hAnsiTheme="majorHAnsi"/>
                <w:sz w:val="20"/>
                <w:szCs w:val="20"/>
              </w:rPr>
              <w:t>96</w:t>
            </w:r>
          </w:p>
        </w:tc>
        <w:tc>
          <w:tcPr>
            <w:tcW w:w="924" w:type="dxa"/>
            <w:vAlign w:val="bottom"/>
          </w:tcPr>
          <w:p w14:paraId="60ABBE91" w14:textId="77777777" w:rsidR="00875D81" w:rsidRPr="00644568" w:rsidRDefault="00875D81" w:rsidP="00875D81">
            <w:pPr>
              <w:pStyle w:val="ListParagraph"/>
              <w:spacing w:after="0" w:line="240" w:lineRule="auto"/>
              <w:ind w:left="0"/>
              <w:jc w:val="center"/>
              <w:rPr>
                <w:rFonts w:asciiTheme="majorHAnsi" w:hAnsiTheme="majorHAnsi"/>
                <w:sz w:val="20"/>
                <w:szCs w:val="20"/>
              </w:rPr>
            </w:pPr>
            <w:r>
              <w:rPr>
                <w:rFonts w:asciiTheme="majorHAnsi" w:hAnsiTheme="majorHAnsi"/>
                <w:sz w:val="20"/>
                <w:szCs w:val="20"/>
              </w:rPr>
              <w:t>128</w:t>
            </w:r>
          </w:p>
        </w:tc>
        <w:tc>
          <w:tcPr>
            <w:tcW w:w="924" w:type="dxa"/>
            <w:vAlign w:val="bottom"/>
          </w:tcPr>
          <w:p w14:paraId="37BAB052" w14:textId="77777777" w:rsidR="00875D81" w:rsidRPr="00644568" w:rsidRDefault="00875D81" w:rsidP="00875D81">
            <w:pPr>
              <w:spacing w:after="0" w:line="240" w:lineRule="auto"/>
              <w:jc w:val="center"/>
              <w:rPr>
                <w:rFonts w:asciiTheme="majorHAnsi" w:hAnsiTheme="majorHAnsi"/>
                <w:sz w:val="20"/>
                <w:szCs w:val="20"/>
              </w:rPr>
            </w:pPr>
            <w:r>
              <w:rPr>
                <w:rFonts w:asciiTheme="majorHAnsi" w:hAnsiTheme="majorHAnsi"/>
                <w:sz w:val="20"/>
                <w:szCs w:val="20"/>
              </w:rPr>
              <w:t>160</w:t>
            </w:r>
          </w:p>
        </w:tc>
        <w:tc>
          <w:tcPr>
            <w:tcW w:w="924" w:type="dxa"/>
            <w:vAlign w:val="bottom"/>
          </w:tcPr>
          <w:p w14:paraId="100B05FF" w14:textId="77777777" w:rsidR="00875D81" w:rsidRPr="00644568" w:rsidRDefault="00875D81" w:rsidP="00875D81">
            <w:pPr>
              <w:spacing w:after="0" w:line="240" w:lineRule="auto"/>
              <w:jc w:val="center"/>
              <w:rPr>
                <w:rFonts w:asciiTheme="majorHAnsi" w:hAnsiTheme="majorHAnsi"/>
                <w:sz w:val="20"/>
                <w:szCs w:val="20"/>
              </w:rPr>
            </w:pPr>
            <w:r>
              <w:rPr>
                <w:rFonts w:asciiTheme="majorHAnsi" w:hAnsiTheme="majorHAnsi"/>
                <w:sz w:val="20"/>
                <w:szCs w:val="20"/>
              </w:rPr>
              <w:t>192</w:t>
            </w:r>
          </w:p>
        </w:tc>
        <w:tc>
          <w:tcPr>
            <w:tcW w:w="925" w:type="dxa"/>
            <w:vAlign w:val="bottom"/>
          </w:tcPr>
          <w:p w14:paraId="11F1B0B3" w14:textId="77777777" w:rsidR="00875D81" w:rsidRPr="00644568" w:rsidRDefault="00875D81" w:rsidP="00875D81">
            <w:pPr>
              <w:spacing w:after="0" w:line="240" w:lineRule="auto"/>
              <w:jc w:val="center"/>
              <w:rPr>
                <w:rFonts w:asciiTheme="majorHAnsi" w:hAnsiTheme="majorHAnsi"/>
                <w:sz w:val="20"/>
                <w:szCs w:val="20"/>
              </w:rPr>
            </w:pPr>
            <w:r>
              <w:rPr>
                <w:rFonts w:asciiTheme="majorHAnsi" w:hAnsiTheme="majorHAnsi"/>
                <w:sz w:val="20"/>
                <w:szCs w:val="20"/>
              </w:rPr>
              <w:t>224</w:t>
            </w:r>
          </w:p>
        </w:tc>
      </w:tr>
    </w:tbl>
    <w:p w14:paraId="397D2E22" w14:textId="4825EB46" w:rsidR="00E40360" w:rsidRDefault="00E40360" w:rsidP="00C54639">
      <w:pPr>
        <w:pStyle w:val="ListParagraph"/>
        <w:ind w:left="-851" w:right="-489"/>
        <w:rPr>
          <w:u w:val="single"/>
        </w:rPr>
      </w:pPr>
    </w:p>
    <w:p w14:paraId="5DAC3406" w14:textId="4146441A" w:rsidR="00145AC2" w:rsidRPr="00D95AA4" w:rsidRDefault="00145AC2" w:rsidP="00D95AA4">
      <w:pPr>
        <w:ind w:left="-993"/>
        <w:rPr>
          <w:bCs/>
          <w:u w:val="single"/>
        </w:rPr>
      </w:pPr>
      <w:r w:rsidRPr="00D95AA4">
        <w:rPr>
          <w:bCs/>
          <w:u w:val="single"/>
        </w:rPr>
        <w:t>Final Standard:</w:t>
      </w:r>
    </w:p>
    <w:p w14:paraId="0CA41DF1" w14:textId="62329CD8" w:rsidR="002231BF" w:rsidRDefault="002231BF" w:rsidP="00D95AA4">
      <w:pPr>
        <w:ind w:left="-993"/>
      </w:pPr>
      <w:r>
        <w:t xml:space="preserve">Per capita cost (Tier 1 – “Full”): </w:t>
      </w:r>
      <w:r w:rsidR="00022E48">
        <w:t>16</w:t>
      </w:r>
      <w:r>
        <w:t xml:space="preserve"> + 57 JOD = </w:t>
      </w:r>
      <w:r w:rsidR="00022E48">
        <w:t>73</w:t>
      </w:r>
      <w:r w:rsidR="00121B53">
        <w:t xml:space="preserve"> JOD</w:t>
      </w:r>
    </w:p>
    <w:p w14:paraId="6EFAEFA3" w14:textId="7C5826A1" w:rsidR="00557778" w:rsidRPr="000A35BD" w:rsidRDefault="002231BF" w:rsidP="00D95AA4">
      <w:pPr>
        <w:ind w:left="-993"/>
        <w:rPr>
          <w:sz w:val="24"/>
          <w:szCs w:val="24"/>
        </w:rPr>
      </w:pPr>
      <w:r>
        <w:t xml:space="preserve">Per capita cost (Tier 2 – “Partial”): </w:t>
      </w:r>
      <w:r w:rsidR="00022E48">
        <w:t>16</w:t>
      </w:r>
      <w:r w:rsidR="00121B53">
        <w:t xml:space="preserve"> + 32 JOD = </w:t>
      </w:r>
      <w:r w:rsidR="00022E48">
        <w:t>48</w:t>
      </w:r>
      <w:r w:rsidR="000A35BD">
        <w:t xml:space="preserve"> JOD</w:t>
      </w:r>
    </w:p>
    <w:p w14:paraId="4B666408" w14:textId="77777777" w:rsidR="000A35BD" w:rsidRDefault="000A35BD" w:rsidP="000A35BD">
      <w:pPr>
        <w:pStyle w:val="ListParagraph"/>
        <w:ind w:left="0"/>
        <w:rPr>
          <w:sz w:val="24"/>
          <w:szCs w:val="24"/>
        </w:rPr>
      </w:pPr>
    </w:p>
    <w:p w14:paraId="26ABE8C5" w14:textId="6C9C1030" w:rsidR="00C920CD" w:rsidRDefault="00D95AA4" w:rsidP="00C920CD">
      <w:pPr>
        <w:ind w:left="-993"/>
      </w:pPr>
      <w:r>
        <w:rPr>
          <w:b/>
          <w:u w:val="single"/>
        </w:rPr>
        <w:t>Please Note:</w:t>
      </w:r>
      <w:r>
        <w:t xml:space="preserve"> </w:t>
      </w:r>
      <w:r w:rsidR="008A107E">
        <w:t xml:space="preserve">the </w:t>
      </w:r>
      <w:r w:rsidR="00B21A0D">
        <w:t xml:space="preserve">criteria outlined above are intended describe the MINIMUM STANDARD of what assistance should be delivered. </w:t>
      </w:r>
      <w:r w:rsidR="00C920CD">
        <w:t>Every organisation should see it within the remit to add extra assistance when they feel a case has extra vulnerability. This also applies to distributing diff</w:t>
      </w:r>
      <w:r w:rsidR="00A84286">
        <w:t xml:space="preserve">erent kinds of assistance, aside from the contents of the standard package outlined. </w:t>
      </w:r>
    </w:p>
    <w:p w14:paraId="0E58F116" w14:textId="77777777" w:rsidR="00D95AA4" w:rsidRDefault="00D95AA4" w:rsidP="00D95AA4">
      <w:pPr>
        <w:pStyle w:val="ListParagraph"/>
        <w:shd w:val="clear" w:color="auto" w:fill="FFFFFF"/>
        <w:spacing w:after="0" w:line="240" w:lineRule="auto"/>
        <w:ind w:left="-1134"/>
      </w:pPr>
    </w:p>
    <w:p w14:paraId="0525819B" w14:textId="77777777" w:rsidR="00D95AA4" w:rsidRDefault="00D95AA4" w:rsidP="00D95AA4">
      <w:pPr>
        <w:pStyle w:val="ListParagraph"/>
        <w:shd w:val="clear" w:color="auto" w:fill="FFFFFF"/>
        <w:spacing w:after="0" w:line="240" w:lineRule="auto"/>
        <w:ind w:left="-1134"/>
      </w:pPr>
    </w:p>
    <w:p w14:paraId="48AA74F2" w14:textId="77777777" w:rsidR="00D95AA4" w:rsidRPr="00D95AA4" w:rsidRDefault="00D95AA4" w:rsidP="00D95AA4">
      <w:pPr>
        <w:pStyle w:val="ListParagraph"/>
        <w:shd w:val="clear" w:color="auto" w:fill="FFFFFF"/>
        <w:spacing w:after="0" w:line="240" w:lineRule="auto"/>
        <w:ind w:left="-1134"/>
      </w:pPr>
    </w:p>
    <w:p w14:paraId="50E39075" w14:textId="77777777" w:rsidR="00964929" w:rsidRDefault="00964929" w:rsidP="00964929">
      <w:pPr>
        <w:pStyle w:val="ListParagraph"/>
        <w:ind w:left="-851"/>
        <w:rPr>
          <w:sz w:val="24"/>
          <w:szCs w:val="24"/>
        </w:rPr>
      </w:pPr>
    </w:p>
    <w:sectPr w:rsidR="00964929" w:rsidSect="00BA596C">
      <w:footerReference w:type="default" r:id="rId12"/>
      <w:pgSz w:w="11900" w:h="16840"/>
      <w:pgMar w:top="1134" w:right="1800" w:bottom="56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0B61B" w14:textId="77777777" w:rsidR="0045392E" w:rsidRDefault="0045392E" w:rsidP="001D0ED7">
      <w:pPr>
        <w:spacing w:after="0" w:line="240" w:lineRule="auto"/>
      </w:pPr>
      <w:r>
        <w:separator/>
      </w:r>
    </w:p>
  </w:endnote>
  <w:endnote w:type="continuationSeparator" w:id="0">
    <w:p w14:paraId="09B28E02" w14:textId="77777777" w:rsidR="0045392E" w:rsidRDefault="0045392E" w:rsidP="001D0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644591"/>
      <w:docPartObj>
        <w:docPartGallery w:val="Page Numbers (Bottom of Page)"/>
        <w:docPartUnique/>
      </w:docPartObj>
    </w:sdtPr>
    <w:sdtEndPr>
      <w:rPr>
        <w:noProof/>
      </w:rPr>
    </w:sdtEndPr>
    <w:sdtContent>
      <w:p w14:paraId="1B76C8B8" w14:textId="6E5CC233" w:rsidR="00BA596C" w:rsidRDefault="00BA596C">
        <w:pPr>
          <w:pStyle w:val="Footer"/>
          <w:jc w:val="center"/>
        </w:pPr>
        <w:r>
          <w:fldChar w:fldCharType="begin"/>
        </w:r>
        <w:r>
          <w:instrText xml:space="preserve"> PAGE   \* MERGEFORMAT </w:instrText>
        </w:r>
        <w:r>
          <w:fldChar w:fldCharType="separate"/>
        </w:r>
        <w:r w:rsidR="00844553">
          <w:rPr>
            <w:noProof/>
          </w:rPr>
          <w:t>1</w:t>
        </w:r>
        <w:r>
          <w:rPr>
            <w:noProof/>
          </w:rPr>
          <w:fldChar w:fldCharType="end"/>
        </w:r>
      </w:p>
    </w:sdtContent>
  </w:sdt>
  <w:p w14:paraId="2FAC220A" w14:textId="77777777" w:rsidR="00BA596C" w:rsidRDefault="00BA59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356BC" w14:textId="77777777" w:rsidR="0045392E" w:rsidRDefault="0045392E" w:rsidP="001D0ED7">
      <w:pPr>
        <w:spacing w:after="0" w:line="240" w:lineRule="auto"/>
      </w:pPr>
      <w:r>
        <w:separator/>
      </w:r>
    </w:p>
  </w:footnote>
  <w:footnote w:type="continuationSeparator" w:id="0">
    <w:p w14:paraId="1A136729" w14:textId="77777777" w:rsidR="0045392E" w:rsidRDefault="0045392E" w:rsidP="001D0E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36CA"/>
    <w:multiLevelType w:val="hybridMultilevel"/>
    <w:tmpl w:val="EA1022D6"/>
    <w:lvl w:ilvl="0" w:tplc="2A706A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96DFE"/>
    <w:multiLevelType w:val="hybridMultilevel"/>
    <w:tmpl w:val="0778E6D0"/>
    <w:lvl w:ilvl="0" w:tplc="613CBC36">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 w15:restartNumberingAfterBreak="0">
    <w:nsid w:val="14040795"/>
    <w:multiLevelType w:val="hybridMultilevel"/>
    <w:tmpl w:val="C72688E0"/>
    <w:lvl w:ilvl="0" w:tplc="FE28DB1E">
      <w:start w:val="1"/>
      <w:numFmt w:val="decimal"/>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3" w15:restartNumberingAfterBreak="0">
    <w:nsid w:val="14856217"/>
    <w:multiLevelType w:val="hybridMultilevel"/>
    <w:tmpl w:val="89AE7870"/>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4" w15:restartNumberingAfterBreak="0">
    <w:nsid w:val="245F07BA"/>
    <w:multiLevelType w:val="hybridMultilevel"/>
    <w:tmpl w:val="37A8B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C73B1"/>
    <w:multiLevelType w:val="hybridMultilevel"/>
    <w:tmpl w:val="81D8B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433F7"/>
    <w:multiLevelType w:val="hybridMultilevel"/>
    <w:tmpl w:val="82AC7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064295"/>
    <w:multiLevelType w:val="hybridMultilevel"/>
    <w:tmpl w:val="38C681AE"/>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8" w15:restartNumberingAfterBreak="0">
    <w:nsid w:val="341C4119"/>
    <w:multiLevelType w:val="hybridMultilevel"/>
    <w:tmpl w:val="4AC257A0"/>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9" w15:restartNumberingAfterBreak="0">
    <w:nsid w:val="3AA4556B"/>
    <w:multiLevelType w:val="hybridMultilevel"/>
    <w:tmpl w:val="1A408C2C"/>
    <w:lvl w:ilvl="0" w:tplc="3D347490">
      <w:start w:val="1"/>
      <w:numFmt w:val="decimal"/>
      <w:lvlText w:val="%1."/>
      <w:lvlJc w:val="left"/>
      <w:pPr>
        <w:ind w:left="-414" w:hanging="360"/>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10" w15:restartNumberingAfterBreak="0">
    <w:nsid w:val="3D4C3BF3"/>
    <w:multiLevelType w:val="hybridMultilevel"/>
    <w:tmpl w:val="21C00CB4"/>
    <w:lvl w:ilvl="0" w:tplc="0409000F">
      <w:start w:val="1"/>
      <w:numFmt w:val="decimal"/>
      <w:lvlText w:val="%1."/>
      <w:lvlJc w:val="left"/>
      <w:pPr>
        <w:ind w:left="-774" w:hanging="360"/>
      </w:pPr>
      <w:rPr>
        <w:rFonts w:hint="default"/>
      </w:rPr>
    </w:lvl>
    <w:lvl w:ilvl="1" w:tplc="04090003" w:tentative="1">
      <w:start w:val="1"/>
      <w:numFmt w:val="bullet"/>
      <w:lvlText w:val="o"/>
      <w:lvlJc w:val="left"/>
      <w:pPr>
        <w:ind w:left="-54" w:hanging="360"/>
      </w:pPr>
      <w:rPr>
        <w:rFonts w:ascii="Courier New" w:hAnsi="Courier New" w:cs="Courier New" w:hint="default"/>
      </w:rPr>
    </w:lvl>
    <w:lvl w:ilvl="2" w:tplc="04090005" w:tentative="1">
      <w:start w:val="1"/>
      <w:numFmt w:val="bullet"/>
      <w:lvlText w:val=""/>
      <w:lvlJc w:val="left"/>
      <w:pPr>
        <w:ind w:left="666" w:hanging="360"/>
      </w:pPr>
      <w:rPr>
        <w:rFonts w:ascii="Wingdings" w:hAnsi="Wingdings" w:hint="default"/>
      </w:rPr>
    </w:lvl>
    <w:lvl w:ilvl="3" w:tplc="04090001" w:tentative="1">
      <w:start w:val="1"/>
      <w:numFmt w:val="bullet"/>
      <w:lvlText w:val=""/>
      <w:lvlJc w:val="left"/>
      <w:pPr>
        <w:ind w:left="1386" w:hanging="360"/>
      </w:pPr>
      <w:rPr>
        <w:rFonts w:ascii="Symbol" w:hAnsi="Symbol" w:hint="default"/>
      </w:rPr>
    </w:lvl>
    <w:lvl w:ilvl="4" w:tplc="04090003" w:tentative="1">
      <w:start w:val="1"/>
      <w:numFmt w:val="bullet"/>
      <w:lvlText w:val="o"/>
      <w:lvlJc w:val="left"/>
      <w:pPr>
        <w:ind w:left="2106" w:hanging="360"/>
      </w:pPr>
      <w:rPr>
        <w:rFonts w:ascii="Courier New" w:hAnsi="Courier New" w:cs="Courier New" w:hint="default"/>
      </w:rPr>
    </w:lvl>
    <w:lvl w:ilvl="5" w:tplc="04090005" w:tentative="1">
      <w:start w:val="1"/>
      <w:numFmt w:val="bullet"/>
      <w:lvlText w:val=""/>
      <w:lvlJc w:val="left"/>
      <w:pPr>
        <w:ind w:left="2826" w:hanging="360"/>
      </w:pPr>
      <w:rPr>
        <w:rFonts w:ascii="Wingdings" w:hAnsi="Wingdings" w:hint="default"/>
      </w:rPr>
    </w:lvl>
    <w:lvl w:ilvl="6" w:tplc="04090001" w:tentative="1">
      <w:start w:val="1"/>
      <w:numFmt w:val="bullet"/>
      <w:lvlText w:val=""/>
      <w:lvlJc w:val="left"/>
      <w:pPr>
        <w:ind w:left="3546" w:hanging="360"/>
      </w:pPr>
      <w:rPr>
        <w:rFonts w:ascii="Symbol" w:hAnsi="Symbol" w:hint="default"/>
      </w:rPr>
    </w:lvl>
    <w:lvl w:ilvl="7" w:tplc="04090003" w:tentative="1">
      <w:start w:val="1"/>
      <w:numFmt w:val="bullet"/>
      <w:lvlText w:val="o"/>
      <w:lvlJc w:val="left"/>
      <w:pPr>
        <w:ind w:left="4266" w:hanging="360"/>
      </w:pPr>
      <w:rPr>
        <w:rFonts w:ascii="Courier New" w:hAnsi="Courier New" w:cs="Courier New" w:hint="default"/>
      </w:rPr>
    </w:lvl>
    <w:lvl w:ilvl="8" w:tplc="04090005" w:tentative="1">
      <w:start w:val="1"/>
      <w:numFmt w:val="bullet"/>
      <w:lvlText w:val=""/>
      <w:lvlJc w:val="left"/>
      <w:pPr>
        <w:ind w:left="4986" w:hanging="360"/>
      </w:pPr>
      <w:rPr>
        <w:rFonts w:ascii="Wingdings" w:hAnsi="Wingdings" w:hint="default"/>
      </w:rPr>
    </w:lvl>
  </w:abstractNum>
  <w:abstractNum w:abstractNumId="11" w15:restartNumberingAfterBreak="0">
    <w:nsid w:val="54674535"/>
    <w:multiLevelType w:val="hybridMultilevel"/>
    <w:tmpl w:val="79146A70"/>
    <w:lvl w:ilvl="0" w:tplc="0409000F">
      <w:start w:val="1"/>
      <w:numFmt w:val="decimal"/>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12" w15:restartNumberingAfterBreak="0">
    <w:nsid w:val="589B0A69"/>
    <w:multiLevelType w:val="hybridMultilevel"/>
    <w:tmpl w:val="33C6BA70"/>
    <w:lvl w:ilvl="0" w:tplc="04090013">
      <w:start w:val="1"/>
      <w:numFmt w:val="upperRoman"/>
      <w:lvlText w:val="%1."/>
      <w:lvlJc w:val="right"/>
      <w:pPr>
        <w:ind w:left="-414" w:hanging="360"/>
      </w:pPr>
    </w:lvl>
    <w:lvl w:ilvl="1" w:tplc="04090019" w:tentative="1">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13" w15:restartNumberingAfterBreak="0">
    <w:nsid w:val="5B812D99"/>
    <w:multiLevelType w:val="hybridMultilevel"/>
    <w:tmpl w:val="4462F966"/>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4" w15:restartNumberingAfterBreak="0">
    <w:nsid w:val="67E80F0D"/>
    <w:multiLevelType w:val="hybridMultilevel"/>
    <w:tmpl w:val="033C537A"/>
    <w:lvl w:ilvl="0" w:tplc="76EA7272">
      <w:numFmt w:val="bullet"/>
      <w:lvlText w:val="-"/>
      <w:lvlJc w:val="left"/>
      <w:pPr>
        <w:ind w:left="-774" w:hanging="360"/>
      </w:pPr>
      <w:rPr>
        <w:rFonts w:ascii="Calibri" w:eastAsia="SimSun" w:hAnsi="Calibri" w:cs="Arial" w:hint="default"/>
      </w:rPr>
    </w:lvl>
    <w:lvl w:ilvl="1" w:tplc="04090003" w:tentative="1">
      <w:start w:val="1"/>
      <w:numFmt w:val="bullet"/>
      <w:lvlText w:val="o"/>
      <w:lvlJc w:val="left"/>
      <w:pPr>
        <w:ind w:left="-54" w:hanging="360"/>
      </w:pPr>
      <w:rPr>
        <w:rFonts w:ascii="Courier New" w:hAnsi="Courier New" w:cs="Courier New" w:hint="default"/>
      </w:rPr>
    </w:lvl>
    <w:lvl w:ilvl="2" w:tplc="04090005" w:tentative="1">
      <w:start w:val="1"/>
      <w:numFmt w:val="bullet"/>
      <w:lvlText w:val=""/>
      <w:lvlJc w:val="left"/>
      <w:pPr>
        <w:ind w:left="666" w:hanging="360"/>
      </w:pPr>
      <w:rPr>
        <w:rFonts w:ascii="Wingdings" w:hAnsi="Wingdings" w:hint="default"/>
      </w:rPr>
    </w:lvl>
    <w:lvl w:ilvl="3" w:tplc="04090001" w:tentative="1">
      <w:start w:val="1"/>
      <w:numFmt w:val="bullet"/>
      <w:lvlText w:val=""/>
      <w:lvlJc w:val="left"/>
      <w:pPr>
        <w:ind w:left="1386" w:hanging="360"/>
      </w:pPr>
      <w:rPr>
        <w:rFonts w:ascii="Symbol" w:hAnsi="Symbol" w:hint="default"/>
      </w:rPr>
    </w:lvl>
    <w:lvl w:ilvl="4" w:tplc="04090003" w:tentative="1">
      <w:start w:val="1"/>
      <w:numFmt w:val="bullet"/>
      <w:lvlText w:val="o"/>
      <w:lvlJc w:val="left"/>
      <w:pPr>
        <w:ind w:left="2106" w:hanging="360"/>
      </w:pPr>
      <w:rPr>
        <w:rFonts w:ascii="Courier New" w:hAnsi="Courier New" w:cs="Courier New" w:hint="default"/>
      </w:rPr>
    </w:lvl>
    <w:lvl w:ilvl="5" w:tplc="04090005" w:tentative="1">
      <w:start w:val="1"/>
      <w:numFmt w:val="bullet"/>
      <w:lvlText w:val=""/>
      <w:lvlJc w:val="left"/>
      <w:pPr>
        <w:ind w:left="2826" w:hanging="360"/>
      </w:pPr>
      <w:rPr>
        <w:rFonts w:ascii="Wingdings" w:hAnsi="Wingdings" w:hint="default"/>
      </w:rPr>
    </w:lvl>
    <w:lvl w:ilvl="6" w:tplc="04090001" w:tentative="1">
      <w:start w:val="1"/>
      <w:numFmt w:val="bullet"/>
      <w:lvlText w:val=""/>
      <w:lvlJc w:val="left"/>
      <w:pPr>
        <w:ind w:left="3546" w:hanging="360"/>
      </w:pPr>
      <w:rPr>
        <w:rFonts w:ascii="Symbol" w:hAnsi="Symbol" w:hint="default"/>
      </w:rPr>
    </w:lvl>
    <w:lvl w:ilvl="7" w:tplc="04090003" w:tentative="1">
      <w:start w:val="1"/>
      <w:numFmt w:val="bullet"/>
      <w:lvlText w:val="o"/>
      <w:lvlJc w:val="left"/>
      <w:pPr>
        <w:ind w:left="4266" w:hanging="360"/>
      </w:pPr>
      <w:rPr>
        <w:rFonts w:ascii="Courier New" w:hAnsi="Courier New" w:cs="Courier New" w:hint="default"/>
      </w:rPr>
    </w:lvl>
    <w:lvl w:ilvl="8" w:tplc="04090005" w:tentative="1">
      <w:start w:val="1"/>
      <w:numFmt w:val="bullet"/>
      <w:lvlText w:val=""/>
      <w:lvlJc w:val="left"/>
      <w:pPr>
        <w:ind w:left="4986" w:hanging="360"/>
      </w:pPr>
      <w:rPr>
        <w:rFonts w:ascii="Wingdings" w:hAnsi="Wingdings" w:hint="default"/>
      </w:rPr>
    </w:lvl>
  </w:abstractNum>
  <w:abstractNum w:abstractNumId="15" w15:restartNumberingAfterBreak="0">
    <w:nsid w:val="71DA0ECE"/>
    <w:multiLevelType w:val="hybridMultilevel"/>
    <w:tmpl w:val="46C09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D149E2"/>
    <w:multiLevelType w:val="hybridMultilevel"/>
    <w:tmpl w:val="575E40D4"/>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7" w15:restartNumberingAfterBreak="0">
    <w:nsid w:val="7CD25D19"/>
    <w:multiLevelType w:val="hybridMultilevel"/>
    <w:tmpl w:val="BABEB4BA"/>
    <w:lvl w:ilvl="0" w:tplc="08090001">
      <w:start w:val="1"/>
      <w:numFmt w:val="bullet"/>
      <w:lvlText w:val=""/>
      <w:lvlJc w:val="left"/>
      <w:pPr>
        <w:ind w:left="-556"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num w:numId="1">
    <w:abstractNumId w:val="2"/>
  </w:num>
  <w:num w:numId="2">
    <w:abstractNumId w:val="15"/>
  </w:num>
  <w:num w:numId="3">
    <w:abstractNumId w:val="3"/>
  </w:num>
  <w:num w:numId="4">
    <w:abstractNumId w:val="16"/>
  </w:num>
  <w:num w:numId="5">
    <w:abstractNumId w:val="6"/>
  </w:num>
  <w:num w:numId="6">
    <w:abstractNumId w:val="7"/>
  </w:num>
  <w:num w:numId="7">
    <w:abstractNumId w:val="8"/>
  </w:num>
  <w:num w:numId="8">
    <w:abstractNumId w:val="14"/>
  </w:num>
  <w:num w:numId="9">
    <w:abstractNumId w:val="10"/>
  </w:num>
  <w:num w:numId="10">
    <w:abstractNumId w:val="11"/>
  </w:num>
  <w:num w:numId="11">
    <w:abstractNumId w:val="12"/>
  </w:num>
  <w:num w:numId="12">
    <w:abstractNumId w:val="0"/>
  </w:num>
  <w:num w:numId="13">
    <w:abstractNumId w:val="9"/>
  </w:num>
  <w:num w:numId="14">
    <w:abstractNumId w:val="5"/>
  </w:num>
  <w:num w:numId="15">
    <w:abstractNumId w:val="1"/>
  </w:num>
  <w:num w:numId="16">
    <w:abstractNumId w:val="17"/>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99F"/>
    <w:rsid w:val="00021D0D"/>
    <w:rsid w:val="00022E48"/>
    <w:rsid w:val="0002713C"/>
    <w:rsid w:val="00057CCB"/>
    <w:rsid w:val="00090F21"/>
    <w:rsid w:val="000948E7"/>
    <w:rsid w:val="000A35BD"/>
    <w:rsid w:val="000B4293"/>
    <w:rsid w:val="000B669C"/>
    <w:rsid w:val="000C263C"/>
    <w:rsid w:val="00114702"/>
    <w:rsid w:val="0011529A"/>
    <w:rsid w:val="00121B53"/>
    <w:rsid w:val="001451BD"/>
    <w:rsid w:val="00145AC2"/>
    <w:rsid w:val="0018484A"/>
    <w:rsid w:val="0019448B"/>
    <w:rsid w:val="00195616"/>
    <w:rsid w:val="00196DBD"/>
    <w:rsid w:val="001A6986"/>
    <w:rsid w:val="001A7E1E"/>
    <w:rsid w:val="001B7914"/>
    <w:rsid w:val="001D0ED7"/>
    <w:rsid w:val="001D7ABB"/>
    <w:rsid w:val="001E1EC3"/>
    <w:rsid w:val="002231BF"/>
    <w:rsid w:val="002373D7"/>
    <w:rsid w:val="00257584"/>
    <w:rsid w:val="0028205A"/>
    <w:rsid w:val="0029125F"/>
    <w:rsid w:val="002B34F1"/>
    <w:rsid w:val="002B55FF"/>
    <w:rsid w:val="002C11CD"/>
    <w:rsid w:val="002C593A"/>
    <w:rsid w:val="002C7B63"/>
    <w:rsid w:val="00334DF9"/>
    <w:rsid w:val="00342ADE"/>
    <w:rsid w:val="00344DFA"/>
    <w:rsid w:val="0035349D"/>
    <w:rsid w:val="0036261E"/>
    <w:rsid w:val="00372425"/>
    <w:rsid w:val="003740D9"/>
    <w:rsid w:val="003937CF"/>
    <w:rsid w:val="003A4D39"/>
    <w:rsid w:val="003A76D7"/>
    <w:rsid w:val="003B5BDA"/>
    <w:rsid w:val="003B7BB3"/>
    <w:rsid w:val="003D5961"/>
    <w:rsid w:val="00405608"/>
    <w:rsid w:val="00406BEF"/>
    <w:rsid w:val="0045392E"/>
    <w:rsid w:val="004669EF"/>
    <w:rsid w:val="00483DBE"/>
    <w:rsid w:val="00485131"/>
    <w:rsid w:val="00485B29"/>
    <w:rsid w:val="0049150B"/>
    <w:rsid w:val="004956BF"/>
    <w:rsid w:val="00496CBD"/>
    <w:rsid w:val="004A7C77"/>
    <w:rsid w:val="005144EB"/>
    <w:rsid w:val="00514780"/>
    <w:rsid w:val="00514F19"/>
    <w:rsid w:val="00522E20"/>
    <w:rsid w:val="00552B25"/>
    <w:rsid w:val="005540AD"/>
    <w:rsid w:val="00556EA7"/>
    <w:rsid w:val="00557778"/>
    <w:rsid w:val="00560751"/>
    <w:rsid w:val="00572F84"/>
    <w:rsid w:val="00582CBC"/>
    <w:rsid w:val="00587746"/>
    <w:rsid w:val="005A7E57"/>
    <w:rsid w:val="005B1956"/>
    <w:rsid w:val="005B4654"/>
    <w:rsid w:val="005D27E5"/>
    <w:rsid w:val="005D31CB"/>
    <w:rsid w:val="005E1A18"/>
    <w:rsid w:val="006000DC"/>
    <w:rsid w:val="00644568"/>
    <w:rsid w:val="0064540C"/>
    <w:rsid w:val="00653BEA"/>
    <w:rsid w:val="006828DE"/>
    <w:rsid w:val="0068425A"/>
    <w:rsid w:val="006C3A8A"/>
    <w:rsid w:val="006D6045"/>
    <w:rsid w:val="006E2487"/>
    <w:rsid w:val="00752C2E"/>
    <w:rsid w:val="007531BA"/>
    <w:rsid w:val="00762B8E"/>
    <w:rsid w:val="007B7120"/>
    <w:rsid w:val="007C6C98"/>
    <w:rsid w:val="007D5DC7"/>
    <w:rsid w:val="00813E7B"/>
    <w:rsid w:val="008232FE"/>
    <w:rsid w:val="00844553"/>
    <w:rsid w:val="00866DF0"/>
    <w:rsid w:val="00875D81"/>
    <w:rsid w:val="00880802"/>
    <w:rsid w:val="008932C3"/>
    <w:rsid w:val="008A107E"/>
    <w:rsid w:val="008C1B96"/>
    <w:rsid w:val="00903376"/>
    <w:rsid w:val="00912514"/>
    <w:rsid w:val="00920D9D"/>
    <w:rsid w:val="00932849"/>
    <w:rsid w:val="00932BEB"/>
    <w:rsid w:val="00935E88"/>
    <w:rsid w:val="00945A87"/>
    <w:rsid w:val="00954A47"/>
    <w:rsid w:val="0096305A"/>
    <w:rsid w:val="00964929"/>
    <w:rsid w:val="009755C2"/>
    <w:rsid w:val="00985331"/>
    <w:rsid w:val="0099216E"/>
    <w:rsid w:val="009A3F1A"/>
    <w:rsid w:val="009A5871"/>
    <w:rsid w:val="009B46C5"/>
    <w:rsid w:val="009C60E4"/>
    <w:rsid w:val="009C6D95"/>
    <w:rsid w:val="009E12EE"/>
    <w:rsid w:val="009F090B"/>
    <w:rsid w:val="00A119A0"/>
    <w:rsid w:val="00A148D1"/>
    <w:rsid w:val="00A16B0C"/>
    <w:rsid w:val="00A36DC1"/>
    <w:rsid w:val="00A451A2"/>
    <w:rsid w:val="00A54140"/>
    <w:rsid w:val="00A818B4"/>
    <w:rsid w:val="00A84286"/>
    <w:rsid w:val="00AB64BC"/>
    <w:rsid w:val="00AD099F"/>
    <w:rsid w:val="00B0764F"/>
    <w:rsid w:val="00B12AEF"/>
    <w:rsid w:val="00B21A0D"/>
    <w:rsid w:val="00B26A53"/>
    <w:rsid w:val="00B40454"/>
    <w:rsid w:val="00B517CD"/>
    <w:rsid w:val="00B8597D"/>
    <w:rsid w:val="00B85BB1"/>
    <w:rsid w:val="00BA596C"/>
    <w:rsid w:val="00BD3DEC"/>
    <w:rsid w:val="00BE5C1A"/>
    <w:rsid w:val="00C01CDA"/>
    <w:rsid w:val="00C54639"/>
    <w:rsid w:val="00C54981"/>
    <w:rsid w:val="00C71713"/>
    <w:rsid w:val="00C90F14"/>
    <w:rsid w:val="00C91824"/>
    <w:rsid w:val="00C920CD"/>
    <w:rsid w:val="00CA3B0F"/>
    <w:rsid w:val="00CA6E7E"/>
    <w:rsid w:val="00CE2DC1"/>
    <w:rsid w:val="00D46B86"/>
    <w:rsid w:val="00D57A56"/>
    <w:rsid w:val="00D774B7"/>
    <w:rsid w:val="00D919F1"/>
    <w:rsid w:val="00D95AA4"/>
    <w:rsid w:val="00DA0269"/>
    <w:rsid w:val="00E14952"/>
    <w:rsid w:val="00E33B2D"/>
    <w:rsid w:val="00E40360"/>
    <w:rsid w:val="00E46E89"/>
    <w:rsid w:val="00E50BBD"/>
    <w:rsid w:val="00E51F05"/>
    <w:rsid w:val="00E8143E"/>
    <w:rsid w:val="00EA0F9B"/>
    <w:rsid w:val="00EA178F"/>
    <w:rsid w:val="00EB5E08"/>
    <w:rsid w:val="00EC0C13"/>
    <w:rsid w:val="00EC49FA"/>
    <w:rsid w:val="00EE154A"/>
    <w:rsid w:val="00F306F3"/>
    <w:rsid w:val="00F360A8"/>
    <w:rsid w:val="00F652CC"/>
    <w:rsid w:val="00F7658C"/>
    <w:rsid w:val="00F869D5"/>
    <w:rsid w:val="00FE5830"/>
    <w:rsid w:val="00FE68C3"/>
    <w:rsid w:val="00FF06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60BC784D"/>
  <w14:defaultImageDpi w14:val="300"/>
  <w15:docId w15:val="{03A9AAB6-FC44-4733-A2E2-243FA257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99F"/>
    <w:pPr>
      <w:spacing w:after="160" w:line="259" w:lineRule="auto"/>
    </w:pPr>
    <w:rPr>
      <w:rFonts w:ascii="Calibri" w:eastAsia="SimSun" w:hAnsi="Calibri" w:cs="Arial"/>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6CBD"/>
  </w:style>
  <w:style w:type="paragraph" w:styleId="ListParagraph">
    <w:name w:val="List Paragraph"/>
    <w:basedOn w:val="Normal"/>
    <w:uiPriority w:val="34"/>
    <w:qFormat/>
    <w:rsid w:val="00257584"/>
    <w:pPr>
      <w:ind w:left="720"/>
      <w:contextualSpacing/>
    </w:pPr>
  </w:style>
  <w:style w:type="paragraph" w:styleId="BalloonText">
    <w:name w:val="Balloon Text"/>
    <w:basedOn w:val="Normal"/>
    <w:link w:val="BalloonTextChar"/>
    <w:uiPriority w:val="99"/>
    <w:semiHidden/>
    <w:unhideWhenUsed/>
    <w:rsid w:val="00556E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6EA7"/>
    <w:rPr>
      <w:rFonts w:ascii="Lucida Grande" w:eastAsia="SimSun" w:hAnsi="Lucida Grande" w:cs="Lucida Grande"/>
      <w:sz w:val="18"/>
      <w:szCs w:val="18"/>
      <w:lang w:val="en-GB" w:eastAsia="zh-CN"/>
    </w:rPr>
  </w:style>
  <w:style w:type="paragraph" w:styleId="Header">
    <w:name w:val="header"/>
    <w:basedOn w:val="Normal"/>
    <w:link w:val="HeaderChar"/>
    <w:uiPriority w:val="99"/>
    <w:unhideWhenUsed/>
    <w:rsid w:val="001D0E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0ED7"/>
    <w:rPr>
      <w:rFonts w:ascii="Calibri" w:eastAsia="SimSun" w:hAnsi="Calibri" w:cs="Arial"/>
      <w:sz w:val="22"/>
      <w:szCs w:val="22"/>
      <w:lang w:val="en-GB" w:eastAsia="zh-CN"/>
    </w:rPr>
  </w:style>
  <w:style w:type="paragraph" w:styleId="Footer">
    <w:name w:val="footer"/>
    <w:basedOn w:val="Normal"/>
    <w:link w:val="FooterChar"/>
    <w:uiPriority w:val="99"/>
    <w:unhideWhenUsed/>
    <w:rsid w:val="001D0E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0ED7"/>
    <w:rPr>
      <w:rFonts w:ascii="Calibri" w:eastAsia="SimSun" w:hAnsi="Calibri" w:cs="Arial"/>
      <w:sz w:val="22"/>
      <w:szCs w:val="22"/>
      <w:lang w:val="en-GB" w:eastAsia="zh-CN"/>
    </w:rPr>
  </w:style>
  <w:style w:type="table" w:styleId="TableGrid">
    <w:name w:val="Table Grid"/>
    <w:basedOn w:val="TableNormal"/>
    <w:uiPriority w:val="59"/>
    <w:rsid w:val="00920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40AD"/>
    <w:rPr>
      <w:rFonts w:ascii="Calibri" w:eastAsia="SimSun" w:hAnsi="Calibri" w:cs="Arial"/>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0646">
      <w:bodyDiv w:val="1"/>
      <w:marLeft w:val="0"/>
      <w:marRight w:val="0"/>
      <w:marTop w:val="0"/>
      <w:marBottom w:val="0"/>
      <w:divBdr>
        <w:top w:val="none" w:sz="0" w:space="0" w:color="auto"/>
        <w:left w:val="none" w:sz="0" w:space="0" w:color="auto"/>
        <w:bottom w:val="none" w:sz="0" w:space="0" w:color="auto"/>
        <w:right w:val="none" w:sz="0" w:space="0" w:color="auto"/>
      </w:divBdr>
      <w:divsChild>
        <w:div w:id="360516908">
          <w:marLeft w:val="0"/>
          <w:marRight w:val="0"/>
          <w:marTop w:val="0"/>
          <w:marBottom w:val="0"/>
          <w:divBdr>
            <w:top w:val="none" w:sz="0" w:space="0" w:color="auto"/>
            <w:left w:val="none" w:sz="0" w:space="0" w:color="auto"/>
            <w:bottom w:val="none" w:sz="0" w:space="0" w:color="auto"/>
            <w:right w:val="none" w:sz="0" w:space="0" w:color="auto"/>
          </w:divBdr>
        </w:div>
        <w:div w:id="1621642058">
          <w:marLeft w:val="0"/>
          <w:marRight w:val="0"/>
          <w:marTop w:val="0"/>
          <w:marBottom w:val="0"/>
          <w:divBdr>
            <w:top w:val="none" w:sz="0" w:space="0" w:color="auto"/>
            <w:left w:val="none" w:sz="0" w:space="0" w:color="auto"/>
            <w:bottom w:val="none" w:sz="0" w:space="0" w:color="auto"/>
            <w:right w:val="none" w:sz="0" w:space="0" w:color="auto"/>
          </w:divBdr>
        </w:div>
        <w:div w:id="1800220171">
          <w:marLeft w:val="0"/>
          <w:marRight w:val="0"/>
          <w:marTop w:val="0"/>
          <w:marBottom w:val="0"/>
          <w:divBdr>
            <w:top w:val="none" w:sz="0" w:space="0" w:color="auto"/>
            <w:left w:val="none" w:sz="0" w:space="0" w:color="auto"/>
            <w:bottom w:val="none" w:sz="0" w:space="0" w:color="auto"/>
            <w:right w:val="none" w:sz="0" w:space="0" w:color="auto"/>
          </w:divBdr>
        </w:div>
        <w:div w:id="79915028">
          <w:marLeft w:val="0"/>
          <w:marRight w:val="0"/>
          <w:marTop w:val="0"/>
          <w:marBottom w:val="0"/>
          <w:divBdr>
            <w:top w:val="none" w:sz="0" w:space="0" w:color="auto"/>
            <w:left w:val="none" w:sz="0" w:space="0" w:color="auto"/>
            <w:bottom w:val="none" w:sz="0" w:space="0" w:color="auto"/>
            <w:right w:val="none" w:sz="0" w:space="0" w:color="auto"/>
          </w:divBdr>
        </w:div>
        <w:div w:id="2096779560">
          <w:marLeft w:val="0"/>
          <w:marRight w:val="0"/>
          <w:marTop w:val="0"/>
          <w:marBottom w:val="0"/>
          <w:divBdr>
            <w:top w:val="none" w:sz="0" w:space="0" w:color="auto"/>
            <w:left w:val="none" w:sz="0" w:space="0" w:color="auto"/>
            <w:bottom w:val="none" w:sz="0" w:space="0" w:color="auto"/>
            <w:right w:val="none" w:sz="0" w:space="0" w:color="auto"/>
          </w:divBdr>
        </w:div>
        <w:div w:id="2024551394">
          <w:marLeft w:val="0"/>
          <w:marRight w:val="0"/>
          <w:marTop w:val="0"/>
          <w:marBottom w:val="0"/>
          <w:divBdr>
            <w:top w:val="none" w:sz="0" w:space="0" w:color="auto"/>
            <w:left w:val="none" w:sz="0" w:space="0" w:color="auto"/>
            <w:bottom w:val="none" w:sz="0" w:space="0" w:color="auto"/>
            <w:right w:val="none" w:sz="0" w:space="0" w:color="auto"/>
          </w:divBdr>
        </w:div>
        <w:div w:id="167987012">
          <w:marLeft w:val="720"/>
          <w:marRight w:val="0"/>
          <w:marTop w:val="0"/>
          <w:marBottom w:val="0"/>
          <w:divBdr>
            <w:top w:val="none" w:sz="0" w:space="0" w:color="auto"/>
            <w:left w:val="none" w:sz="0" w:space="0" w:color="auto"/>
            <w:bottom w:val="none" w:sz="0" w:space="0" w:color="auto"/>
            <w:right w:val="none" w:sz="0" w:space="0" w:color="auto"/>
          </w:divBdr>
        </w:div>
        <w:div w:id="163129811">
          <w:marLeft w:val="720"/>
          <w:marRight w:val="0"/>
          <w:marTop w:val="0"/>
          <w:marBottom w:val="0"/>
          <w:divBdr>
            <w:top w:val="none" w:sz="0" w:space="0" w:color="auto"/>
            <w:left w:val="none" w:sz="0" w:space="0" w:color="auto"/>
            <w:bottom w:val="none" w:sz="0" w:space="0" w:color="auto"/>
            <w:right w:val="none" w:sz="0" w:space="0" w:color="auto"/>
          </w:divBdr>
        </w:div>
        <w:div w:id="539511771">
          <w:marLeft w:val="0"/>
          <w:marRight w:val="0"/>
          <w:marTop w:val="0"/>
          <w:marBottom w:val="0"/>
          <w:divBdr>
            <w:top w:val="none" w:sz="0" w:space="0" w:color="auto"/>
            <w:left w:val="none" w:sz="0" w:space="0" w:color="auto"/>
            <w:bottom w:val="none" w:sz="0" w:space="0" w:color="auto"/>
            <w:right w:val="none" w:sz="0" w:space="0" w:color="auto"/>
          </w:divBdr>
        </w:div>
        <w:div w:id="551768893">
          <w:marLeft w:val="720"/>
          <w:marRight w:val="0"/>
          <w:marTop w:val="0"/>
          <w:marBottom w:val="0"/>
          <w:divBdr>
            <w:top w:val="none" w:sz="0" w:space="0" w:color="auto"/>
            <w:left w:val="none" w:sz="0" w:space="0" w:color="auto"/>
            <w:bottom w:val="none" w:sz="0" w:space="0" w:color="auto"/>
            <w:right w:val="none" w:sz="0" w:space="0" w:color="auto"/>
          </w:divBdr>
        </w:div>
        <w:div w:id="1928810564">
          <w:marLeft w:val="720"/>
          <w:marRight w:val="0"/>
          <w:marTop w:val="0"/>
          <w:marBottom w:val="0"/>
          <w:divBdr>
            <w:top w:val="none" w:sz="0" w:space="0" w:color="auto"/>
            <w:left w:val="none" w:sz="0" w:space="0" w:color="auto"/>
            <w:bottom w:val="none" w:sz="0" w:space="0" w:color="auto"/>
            <w:right w:val="none" w:sz="0" w:space="0" w:color="auto"/>
          </w:divBdr>
        </w:div>
        <w:div w:id="1875264787">
          <w:marLeft w:val="720"/>
          <w:marRight w:val="0"/>
          <w:marTop w:val="0"/>
          <w:marBottom w:val="0"/>
          <w:divBdr>
            <w:top w:val="none" w:sz="0" w:space="0" w:color="auto"/>
            <w:left w:val="none" w:sz="0" w:space="0" w:color="auto"/>
            <w:bottom w:val="none" w:sz="0" w:space="0" w:color="auto"/>
            <w:right w:val="none" w:sz="0" w:space="0" w:color="auto"/>
          </w:divBdr>
        </w:div>
      </w:divsChild>
    </w:div>
    <w:div w:id="165479883">
      <w:bodyDiv w:val="1"/>
      <w:marLeft w:val="0"/>
      <w:marRight w:val="0"/>
      <w:marTop w:val="0"/>
      <w:marBottom w:val="0"/>
      <w:divBdr>
        <w:top w:val="none" w:sz="0" w:space="0" w:color="auto"/>
        <w:left w:val="none" w:sz="0" w:space="0" w:color="auto"/>
        <w:bottom w:val="none" w:sz="0" w:space="0" w:color="auto"/>
        <w:right w:val="none" w:sz="0" w:space="0" w:color="auto"/>
      </w:divBdr>
      <w:divsChild>
        <w:div w:id="1461143624">
          <w:marLeft w:val="0"/>
          <w:marRight w:val="0"/>
          <w:marTop w:val="0"/>
          <w:marBottom w:val="0"/>
          <w:divBdr>
            <w:top w:val="none" w:sz="0" w:space="0" w:color="auto"/>
            <w:left w:val="none" w:sz="0" w:space="0" w:color="auto"/>
            <w:bottom w:val="none" w:sz="0" w:space="0" w:color="auto"/>
            <w:right w:val="none" w:sz="0" w:space="0" w:color="auto"/>
          </w:divBdr>
        </w:div>
        <w:div w:id="9381908">
          <w:marLeft w:val="0"/>
          <w:marRight w:val="0"/>
          <w:marTop w:val="0"/>
          <w:marBottom w:val="0"/>
          <w:divBdr>
            <w:top w:val="none" w:sz="0" w:space="0" w:color="auto"/>
            <w:left w:val="none" w:sz="0" w:space="0" w:color="auto"/>
            <w:bottom w:val="none" w:sz="0" w:space="0" w:color="auto"/>
            <w:right w:val="none" w:sz="0" w:space="0" w:color="auto"/>
          </w:divBdr>
        </w:div>
      </w:divsChild>
    </w:div>
    <w:div w:id="232282501">
      <w:bodyDiv w:val="1"/>
      <w:marLeft w:val="0"/>
      <w:marRight w:val="0"/>
      <w:marTop w:val="0"/>
      <w:marBottom w:val="0"/>
      <w:divBdr>
        <w:top w:val="none" w:sz="0" w:space="0" w:color="auto"/>
        <w:left w:val="none" w:sz="0" w:space="0" w:color="auto"/>
        <w:bottom w:val="none" w:sz="0" w:space="0" w:color="auto"/>
        <w:right w:val="none" w:sz="0" w:space="0" w:color="auto"/>
      </w:divBdr>
      <w:divsChild>
        <w:div w:id="2024211124">
          <w:marLeft w:val="0"/>
          <w:marRight w:val="0"/>
          <w:marTop w:val="0"/>
          <w:marBottom w:val="0"/>
          <w:divBdr>
            <w:top w:val="none" w:sz="0" w:space="0" w:color="auto"/>
            <w:left w:val="none" w:sz="0" w:space="0" w:color="auto"/>
            <w:bottom w:val="none" w:sz="0" w:space="0" w:color="auto"/>
            <w:right w:val="none" w:sz="0" w:space="0" w:color="auto"/>
          </w:divBdr>
        </w:div>
        <w:div w:id="985545054">
          <w:marLeft w:val="0"/>
          <w:marRight w:val="0"/>
          <w:marTop w:val="0"/>
          <w:marBottom w:val="0"/>
          <w:divBdr>
            <w:top w:val="none" w:sz="0" w:space="0" w:color="auto"/>
            <w:left w:val="none" w:sz="0" w:space="0" w:color="auto"/>
            <w:bottom w:val="none" w:sz="0" w:space="0" w:color="auto"/>
            <w:right w:val="none" w:sz="0" w:space="0" w:color="auto"/>
          </w:divBdr>
        </w:div>
        <w:div w:id="1675457319">
          <w:marLeft w:val="0"/>
          <w:marRight w:val="0"/>
          <w:marTop w:val="0"/>
          <w:marBottom w:val="0"/>
          <w:divBdr>
            <w:top w:val="none" w:sz="0" w:space="0" w:color="auto"/>
            <w:left w:val="none" w:sz="0" w:space="0" w:color="auto"/>
            <w:bottom w:val="none" w:sz="0" w:space="0" w:color="auto"/>
            <w:right w:val="none" w:sz="0" w:space="0" w:color="auto"/>
          </w:divBdr>
        </w:div>
        <w:div w:id="1058432661">
          <w:marLeft w:val="0"/>
          <w:marRight w:val="0"/>
          <w:marTop w:val="0"/>
          <w:marBottom w:val="0"/>
          <w:divBdr>
            <w:top w:val="none" w:sz="0" w:space="0" w:color="auto"/>
            <w:left w:val="none" w:sz="0" w:space="0" w:color="auto"/>
            <w:bottom w:val="none" w:sz="0" w:space="0" w:color="auto"/>
            <w:right w:val="none" w:sz="0" w:space="0" w:color="auto"/>
          </w:divBdr>
        </w:div>
        <w:div w:id="2012758613">
          <w:marLeft w:val="0"/>
          <w:marRight w:val="0"/>
          <w:marTop w:val="0"/>
          <w:marBottom w:val="0"/>
          <w:divBdr>
            <w:top w:val="none" w:sz="0" w:space="0" w:color="auto"/>
            <w:left w:val="none" w:sz="0" w:space="0" w:color="auto"/>
            <w:bottom w:val="none" w:sz="0" w:space="0" w:color="auto"/>
            <w:right w:val="none" w:sz="0" w:space="0" w:color="auto"/>
          </w:divBdr>
        </w:div>
        <w:div w:id="1205757491">
          <w:marLeft w:val="0"/>
          <w:marRight w:val="0"/>
          <w:marTop w:val="0"/>
          <w:marBottom w:val="0"/>
          <w:divBdr>
            <w:top w:val="none" w:sz="0" w:space="0" w:color="auto"/>
            <w:left w:val="none" w:sz="0" w:space="0" w:color="auto"/>
            <w:bottom w:val="none" w:sz="0" w:space="0" w:color="auto"/>
            <w:right w:val="none" w:sz="0" w:space="0" w:color="auto"/>
          </w:divBdr>
        </w:div>
        <w:div w:id="1526601669">
          <w:marLeft w:val="0"/>
          <w:marRight w:val="0"/>
          <w:marTop w:val="0"/>
          <w:marBottom w:val="0"/>
          <w:divBdr>
            <w:top w:val="none" w:sz="0" w:space="0" w:color="auto"/>
            <w:left w:val="none" w:sz="0" w:space="0" w:color="auto"/>
            <w:bottom w:val="none" w:sz="0" w:space="0" w:color="auto"/>
            <w:right w:val="none" w:sz="0" w:space="0" w:color="auto"/>
          </w:divBdr>
        </w:div>
        <w:div w:id="2019497864">
          <w:marLeft w:val="0"/>
          <w:marRight w:val="0"/>
          <w:marTop w:val="0"/>
          <w:marBottom w:val="0"/>
          <w:divBdr>
            <w:top w:val="none" w:sz="0" w:space="0" w:color="auto"/>
            <w:left w:val="none" w:sz="0" w:space="0" w:color="auto"/>
            <w:bottom w:val="none" w:sz="0" w:space="0" w:color="auto"/>
            <w:right w:val="none" w:sz="0" w:space="0" w:color="auto"/>
          </w:divBdr>
        </w:div>
        <w:div w:id="1381512449">
          <w:marLeft w:val="0"/>
          <w:marRight w:val="0"/>
          <w:marTop w:val="0"/>
          <w:marBottom w:val="0"/>
          <w:divBdr>
            <w:top w:val="none" w:sz="0" w:space="0" w:color="auto"/>
            <w:left w:val="none" w:sz="0" w:space="0" w:color="auto"/>
            <w:bottom w:val="none" w:sz="0" w:space="0" w:color="auto"/>
            <w:right w:val="none" w:sz="0" w:space="0" w:color="auto"/>
          </w:divBdr>
        </w:div>
        <w:div w:id="41635501">
          <w:marLeft w:val="0"/>
          <w:marRight w:val="0"/>
          <w:marTop w:val="0"/>
          <w:marBottom w:val="0"/>
          <w:divBdr>
            <w:top w:val="none" w:sz="0" w:space="0" w:color="auto"/>
            <w:left w:val="none" w:sz="0" w:space="0" w:color="auto"/>
            <w:bottom w:val="none" w:sz="0" w:space="0" w:color="auto"/>
            <w:right w:val="none" w:sz="0" w:space="0" w:color="auto"/>
          </w:divBdr>
        </w:div>
        <w:div w:id="1593776945">
          <w:marLeft w:val="0"/>
          <w:marRight w:val="0"/>
          <w:marTop w:val="0"/>
          <w:marBottom w:val="0"/>
          <w:divBdr>
            <w:top w:val="none" w:sz="0" w:space="0" w:color="auto"/>
            <w:left w:val="none" w:sz="0" w:space="0" w:color="auto"/>
            <w:bottom w:val="none" w:sz="0" w:space="0" w:color="auto"/>
            <w:right w:val="none" w:sz="0" w:space="0" w:color="auto"/>
          </w:divBdr>
        </w:div>
        <w:div w:id="1169562892">
          <w:marLeft w:val="0"/>
          <w:marRight w:val="0"/>
          <w:marTop w:val="0"/>
          <w:marBottom w:val="0"/>
          <w:divBdr>
            <w:top w:val="none" w:sz="0" w:space="0" w:color="auto"/>
            <w:left w:val="none" w:sz="0" w:space="0" w:color="auto"/>
            <w:bottom w:val="none" w:sz="0" w:space="0" w:color="auto"/>
            <w:right w:val="none" w:sz="0" w:space="0" w:color="auto"/>
          </w:divBdr>
        </w:div>
        <w:div w:id="1419525528">
          <w:marLeft w:val="0"/>
          <w:marRight w:val="0"/>
          <w:marTop w:val="0"/>
          <w:marBottom w:val="0"/>
          <w:divBdr>
            <w:top w:val="none" w:sz="0" w:space="0" w:color="auto"/>
            <w:left w:val="none" w:sz="0" w:space="0" w:color="auto"/>
            <w:bottom w:val="none" w:sz="0" w:space="0" w:color="auto"/>
            <w:right w:val="none" w:sz="0" w:space="0" w:color="auto"/>
          </w:divBdr>
        </w:div>
        <w:div w:id="422607928">
          <w:marLeft w:val="0"/>
          <w:marRight w:val="0"/>
          <w:marTop w:val="0"/>
          <w:marBottom w:val="0"/>
          <w:divBdr>
            <w:top w:val="none" w:sz="0" w:space="0" w:color="auto"/>
            <w:left w:val="none" w:sz="0" w:space="0" w:color="auto"/>
            <w:bottom w:val="none" w:sz="0" w:space="0" w:color="auto"/>
            <w:right w:val="none" w:sz="0" w:space="0" w:color="auto"/>
          </w:divBdr>
        </w:div>
      </w:divsChild>
    </w:div>
    <w:div w:id="587081259">
      <w:bodyDiv w:val="1"/>
      <w:marLeft w:val="0"/>
      <w:marRight w:val="0"/>
      <w:marTop w:val="0"/>
      <w:marBottom w:val="0"/>
      <w:divBdr>
        <w:top w:val="none" w:sz="0" w:space="0" w:color="auto"/>
        <w:left w:val="none" w:sz="0" w:space="0" w:color="auto"/>
        <w:bottom w:val="none" w:sz="0" w:space="0" w:color="auto"/>
        <w:right w:val="none" w:sz="0" w:space="0" w:color="auto"/>
      </w:divBdr>
    </w:div>
    <w:div w:id="929890458">
      <w:bodyDiv w:val="1"/>
      <w:marLeft w:val="0"/>
      <w:marRight w:val="0"/>
      <w:marTop w:val="0"/>
      <w:marBottom w:val="0"/>
      <w:divBdr>
        <w:top w:val="none" w:sz="0" w:space="0" w:color="auto"/>
        <w:left w:val="none" w:sz="0" w:space="0" w:color="auto"/>
        <w:bottom w:val="none" w:sz="0" w:space="0" w:color="auto"/>
        <w:right w:val="none" w:sz="0" w:space="0" w:color="auto"/>
      </w:divBdr>
    </w:div>
    <w:div w:id="1220747314">
      <w:bodyDiv w:val="1"/>
      <w:marLeft w:val="0"/>
      <w:marRight w:val="0"/>
      <w:marTop w:val="0"/>
      <w:marBottom w:val="0"/>
      <w:divBdr>
        <w:top w:val="none" w:sz="0" w:space="0" w:color="auto"/>
        <w:left w:val="none" w:sz="0" w:space="0" w:color="auto"/>
        <w:bottom w:val="none" w:sz="0" w:space="0" w:color="auto"/>
        <w:right w:val="none" w:sz="0" w:space="0" w:color="auto"/>
      </w:divBdr>
    </w:div>
    <w:div w:id="1665814569">
      <w:bodyDiv w:val="1"/>
      <w:marLeft w:val="0"/>
      <w:marRight w:val="0"/>
      <w:marTop w:val="0"/>
      <w:marBottom w:val="0"/>
      <w:divBdr>
        <w:top w:val="none" w:sz="0" w:space="0" w:color="auto"/>
        <w:left w:val="none" w:sz="0" w:space="0" w:color="auto"/>
        <w:bottom w:val="none" w:sz="0" w:space="0" w:color="auto"/>
        <w:right w:val="none" w:sz="0" w:space="0" w:color="auto"/>
      </w:divBdr>
    </w:div>
    <w:div w:id="1794132941">
      <w:bodyDiv w:val="1"/>
      <w:marLeft w:val="0"/>
      <w:marRight w:val="0"/>
      <w:marTop w:val="0"/>
      <w:marBottom w:val="0"/>
      <w:divBdr>
        <w:top w:val="none" w:sz="0" w:space="0" w:color="auto"/>
        <w:left w:val="none" w:sz="0" w:space="0" w:color="auto"/>
        <w:bottom w:val="none" w:sz="0" w:space="0" w:color="auto"/>
        <w:right w:val="none" w:sz="0" w:space="0" w:color="auto"/>
      </w:divBdr>
    </w:div>
    <w:div w:id="1815248422">
      <w:bodyDiv w:val="1"/>
      <w:marLeft w:val="0"/>
      <w:marRight w:val="0"/>
      <w:marTop w:val="0"/>
      <w:marBottom w:val="0"/>
      <w:divBdr>
        <w:top w:val="none" w:sz="0" w:space="0" w:color="auto"/>
        <w:left w:val="none" w:sz="0" w:space="0" w:color="auto"/>
        <w:bottom w:val="none" w:sz="0" w:space="0" w:color="auto"/>
        <w:right w:val="none" w:sz="0" w:space="0" w:color="auto"/>
      </w:divBdr>
      <w:divsChild>
        <w:div w:id="660159188">
          <w:marLeft w:val="0"/>
          <w:marRight w:val="0"/>
          <w:marTop w:val="0"/>
          <w:marBottom w:val="0"/>
          <w:divBdr>
            <w:top w:val="none" w:sz="0" w:space="0" w:color="auto"/>
            <w:left w:val="none" w:sz="0" w:space="0" w:color="auto"/>
            <w:bottom w:val="none" w:sz="0" w:space="0" w:color="auto"/>
            <w:right w:val="none" w:sz="0" w:space="0" w:color="auto"/>
          </w:divBdr>
        </w:div>
        <w:div w:id="1648512516">
          <w:marLeft w:val="0"/>
          <w:marRight w:val="0"/>
          <w:marTop w:val="0"/>
          <w:marBottom w:val="0"/>
          <w:divBdr>
            <w:top w:val="none" w:sz="0" w:space="0" w:color="auto"/>
            <w:left w:val="none" w:sz="0" w:space="0" w:color="auto"/>
            <w:bottom w:val="none" w:sz="0" w:space="0" w:color="auto"/>
            <w:right w:val="none" w:sz="0" w:space="0" w:color="auto"/>
          </w:divBdr>
        </w:div>
        <w:div w:id="470251509">
          <w:marLeft w:val="0"/>
          <w:marRight w:val="0"/>
          <w:marTop w:val="0"/>
          <w:marBottom w:val="0"/>
          <w:divBdr>
            <w:top w:val="none" w:sz="0" w:space="0" w:color="auto"/>
            <w:left w:val="none" w:sz="0" w:space="0" w:color="auto"/>
            <w:bottom w:val="none" w:sz="0" w:space="0" w:color="auto"/>
            <w:right w:val="none" w:sz="0" w:space="0" w:color="auto"/>
          </w:divBdr>
        </w:div>
        <w:div w:id="242759315">
          <w:marLeft w:val="0"/>
          <w:marRight w:val="0"/>
          <w:marTop w:val="0"/>
          <w:marBottom w:val="0"/>
          <w:divBdr>
            <w:top w:val="none" w:sz="0" w:space="0" w:color="auto"/>
            <w:left w:val="none" w:sz="0" w:space="0" w:color="auto"/>
            <w:bottom w:val="none" w:sz="0" w:space="0" w:color="auto"/>
            <w:right w:val="none" w:sz="0" w:space="0" w:color="auto"/>
          </w:divBdr>
        </w:div>
        <w:div w:id="1069378103">
          <w:marLeft w:val="0"/>
          <w:marRight w:val="0"/>
          <w:marTop w:val="0"/>
          <w:marBottom w:val="0"/>
          <w:divBdr>
            <w:top w:val="none" w:sz="0" w:space="0" w:color="auto"/>
            <w:left w:val="none" w:sz="0" w:space="0" w:color="auto"/>
            <w:bottom w:val="none" w:sz="0" w:space="0" w:color="auto"/>
            <w:right w:val="none" w:sz="0" w:space="0" w:color="auto"/>
          </w:divBdr>
        </w:div>
      </w:divsChild>
    </w:div>
    <w:div w:id="1848785954">
      <w:bodyDiv w:val="1"/>
      <w:marLeft w:val="0"/>
      <w:marRight w:val="0"/>
      <w:marTop w:val="0"/>
      <w:marBottom w:val="0"/>
      <w:divBdr>
        <w:top w:val="none" w:sz="0" w:space="0" w:color="auto"/>
        <w:left w:val="none" w:sz="0" w:space="0" w:color="auto"/>
        <w:bottom w:val="none" w:sz="0" w:space="0" w:color="auto"/>
        <w:right w:val="none" w:sz="0" w:space="0" w:color="auto"/>
      </w:divBdr>
    </w:div>
    <w:div w:id="2005814761">
      <w:bodyDiv w:val="1"/>
      <w:marLeft w:val="0"/>
      <w:marRight w:val="0"/>
      <w:marTop w:val="0"/>
      <w:marBottom w:val="0"/>
      <w:divBdr>
        <w:top w:val="none" w:sz="0" w:space="0" w:color="auto"/>
        <w:left w:val="none" w:sz="0" w:space="0" w:color="auto"/>
        <w:bottom w:val="none" w:sz="0" w:space="0" w:color="auto"/>
        <w:right w:val="none" w:sz="0" w:space="0" w:color="auto"/>
      </w:divBdr>
      <w:divsChild>
        <w:div w:id="980693492">
          <w:marLeft w:val="0"/>
          <w:marRight w:val="0"/>
          <w:marTop w:val="0"/>
          <w:marBottom w:val="0"/>
          <w:divBdr>
            <w:top w:val="none" w:sz="0" w:space="0" w:color="auto"/>
            <w:left w:val="none" w:sz="0" w:space="0" w:color="auto"/>
            <w:bottom w:val="none" w:sz="0" w:space="0" w:color="auto"/>
            <w:right w:val="none" w:sz="0" w:space="0" w:color="auto"/>
          </w:divBdr>
        </w:div>
        <w:div w:id="16396998">
          <w:marLeft w:val="0"/>
          <w:marRight w:val="0"/>
          <w:marTop w:val="0"/>
          <w:marBottom w:val="0"/>
          <w:divBdr>
            <w:top w:val="none" w:sz="0" w:space="0" w:color="auto"/>
            <w:left w:val="none" w:sz="0" w:space="0" w:color="auto"/>
            <w:bottom w:val="none" w:sz="0" w:space="0" w:color="auto"/>
            <w:right w:val="none" w:sz="0" w:space="0" w:color="auto"/>
          </w:divBdr>
        </w:div>
      </w:divsChild>
    </w:div>
    <w:div w:id="20555456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7D202-853D-484A-A8C4-CD2CC1792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Stephens</dc:creator>
  <cp:keywords/>
  <dc:description/>
  <cp:lastModifiedBy>Claire Stephens</cp:lastModifiedBy>
  <cp:revision>79</cp:revision>
  <cp:lastPrinted>2015-07-05T09:56:00Z</cp:lastPrinted>
  <dcterms:created xsi:type="dcterms:W3CDTF">2015-06-30T09:37:00Z</dcterms:created>
  <dcterms:modified xsi:type="dcterms:W3CDTF">2015-07-05T09:58:00Z</dcterms:modified>
</cp:coreProperties>
</file>