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A6" w:rsidRPr="000E43FC" w:rsidRDefault="000E43FC" w:rsidP="000E43FC">
      <w:pPr>
        <w:jc w:val="center"/>
        <w:rPr>
          <w:b/>
        </w:rPr>
      </w:pPr>
      <w:r w:rsidRPr="000E43FC">
        <w:rPr>
          <w:b/>
        </w:rPr>
        <w:t>OCHA Additional information on First Strategic Allocation for 2018 / JHF</w:t>
      </w:r>
    </w:p>
    <w:p w:rsidR="000E43FC" w:rsidRDefault="000E43FC"/>
    <w:p w:rsidR="000E43FC" w:rsidRDefault="000E43FC" w:rsidP="000E43FC">
      <w:pPr>
        <w:rPr>
          <w:color w:val="0070C0"/>
          <w:lang w:val="en-US"/>
        </w:rPr>
      </w:pPr>
      <w:r>
        <w:rPr>
          <w:color w:val="0070C0"/>
          <w:lang w:val="en-US"/>
        </w:rPr>
        <w:t>Dear Sector Leads,</w:t>
      </w:r>
    </w:p>
    <w:p w:rsidR="000E43FC" w:rsidRDefault="000E43FC" w:rsidP="000E43FC">
      <w:pPr>
        <w:rPr>
          <w:color w:val="0070C0"/>
          <w:lang w:val="en-US"/>
        </w:rPr>
      </w:pPr>
    </w:p>
    <w:p w:rsidR="000E43FC" w:rsidRDefault="000E43FC" w:rsidP="000E43FC">
      <w:pPr>
        <w:rPr>
          <w:color w:val="0070C0"/>
          <w:lang w:val="en-US"/>
        </w:rPr>
      </w:pPr>
      <w:r>
        <w:rPr>
          <w:color w:val="0070C0"/>
          <w:lang w:val="en-US"/>
        </w:rPr>
        <w:t xml:space="preserve">I would like to inform you that </w:t>
      </w:r>
      <w:proofErr w:type="gramStart"/>
      <w:r>
        <w:rPr>
          <w:color w:val="0070C0"/>
          <w:lang w:val="en-US"/>
        </w:rPr>
        <w:t>The</w:t>
      </w:r>
      <w:proofErr w:type="gramEnd"/>
      <w:r>
        <w:rPr>
          <w:color w:val="0070C0"/>
          <w:lang w:val="en-US"/>
        </w:rPr>
        <w:t xml:space="preserve"> call for proposal will be closed on the 26 of April and therefore we need to start preparing for the technical review.  We will be sharing with you the proposals received on the 30 of April and the technical review should be concluded by the 7 of May.  Please let me know if this is sufficient or you need extra days. </w:t>
      </w:r>
    </w:p>
    <w:p w:rsidR="000E43FC" w:rsidRDefault="000E43FC" w:rsidP="000E43FC">
      <w:pPr>
        <w:rPr>
          <w:color w:val="0070C0"/>
          <w:lang w:val="en-US"/>
        </w:rPr>
      </w:pPr>
    </w:p>
    <w:p w:rsidR="000E43FC" w:rsidRDefault="000E43FC" w:rsidP="000E43FC">
      <w:pPr>
        <w:rPr>
          <w:color w:val="0070C0"/>
          <w:lang w:val="en-US"/>
        </w:rPr>
      </w:pPr>
      <w:proofErr w:type="gramStart"/>
      <w:r>
        <w:rPr>
          <w:color w:val="0070C0"/>
          <w:lang w:val="en-US"/>
        </w:rPr>
        <w:t>Please  see</w:t>
      </w:r>
      <w:proofErr w:type="gramEnd"/>
      <w:r>
        <w:rPr>
          <w:color w:val="0070C0"/>
          <w:lang w:val="en-US"/>
        </w:rPr>
        <w:t xml:space="preserve"> below the criteria for the technical review process .</w:t>
      </w:r>
    </w:p>
    <w:p w:rsidR="000E43FC" w:rsidRDefault="000E43FC" w:rsidP="000E43FC">
      <w:pPr>
        <w:autoSpaceDE w:val="0"/>
        <w:autoSpaceDN w:val="0"/>
        <w:jc w:val="both"/>
        <w:rPr>
          <w:color w:val="0070C0"/>
        </w:rPr>
      </w:pPr>
    </w:p>
    <w:p w:rsidR="000E43FC" w:rsidRDefault="000E43FC" w:rsidP="000E43FC">
      <w:pPr>
        <w:autoSpaceDE w:val="0"/>
        <w:autoSpaceDN w:val="0"/>
        <w:jc w:val="both"/>
        <w:rPr>
          <w:b/>
          <w:bCs/>
          <w:color w:val="0070C0"/>
        </w:rPr>
      </w:pPr>
      <w:r>
        <w:rPr>
          <w:b/>
          <w:bCs/>
          <w:color w:val="0070C0"/>
        </w:rPr>
        <w:t>Strategic and Technical Projects Reviewing Committees:</w:t>
      </w:r>
    </w:p>
    <w:p w:rsidR="000E43FC" w:rsidRDefault="000E43FC" w:rsidP="000E43FC">
      <w:pPr>
        <w:autoSpaceDE w:val="0"/>
        <w:autoSpaceDN w:val="0"/>
        <w:jc w:val="both"/>
        <w:rPr>
          <w:b/>
          <w:bCs/>
          <w:color w:val="0070C0"/>
        </w:rPr>
      </w:pPr>
    </w:p>
    <w:p w:rsidR="000E43FC" w:rsidRDefault="000E43FC" w:rsidP="000E43FC">
      <w:pPr>
        <w:spacing w:line="276" w:lineRule="auto"/>
        <w:jc w:val="both"/>
        <w:rPr>
          <w:color w:val="0070C0"/>
          <w:lang w:eastAsia="zh-TW"/>
        </w:rPr>
      </w:pPr>
      <w:r>
        <w:rPr>
          <w:color w:val="0070C0"/>
          <w:lang w:eastAsia="zh-TW"/>
        </w:rPr>
        <w:t>Members of the respective review committees should be nominated from the active members of the relevant sectors. The committees should ensure an equitable representation of UN and NGOs.</w:t>
      </w:r>
    </w:p>
    <w:p w:rsidR="000E43FC" w:rsidRDefault="000E43FC" w:rsidP="000E43FC">
      <w:pPr>
        <w:spacing w:line="276" w:lineRule="auto"/>
        <w:jc w:val="both"/>
        <w:rPr>
          <w:color w:val="0070C0"/>
          <w:lang w:eastAsia="zh-TW"/>
        </w:rPr>
      </w:pPr>
    </w:p>
    <w:p w:rsidR="000E43FC" w:rsidRDefault="000E43FC" w:rsidP="000E43FC">
      <w:pPr>
        <w:numPr>
          <w:ilvl w:val="0"/>
          <w:numId w:val="1"/>
        </w:numPr>
        <w:spacing w:after="200" w:line="276" w:lineRule="auto"/>
        <w:contextualSpacing/>
        <w:jc w:val="both"/>
        <w:rPr>
          <w:rFonts w:eastAsia="Times New Roman"/>
          <w:color w:val="0070C0"/>
          <w:lang w:eastAsia="zh-TW"/>
        </w:rPr>
      </w:pPr>
      <w:r>
        <w:rPr>
          <w:rFonts w:eastAsia="Times New Roman"/>
          <w:color w:val="0070C0"/>
          <w:lang w:eastAsia="zh-TW"/>
        </w:rPr>
        <w:t>The strategic and technical reviews are discharged by respective sector review committees operating separately by sector.</w:t>
      </w:r>
    </w:p>
    <w:p w:rsidR="000E43FC" w:rsidRDefault="000E43FC" w:rsidP="000E43FC">
      <w:pPr>
        <w:numPr>
          <w:ilvl w:val="0"/>
          <w:numId w:val="1"/>
        </w:numPr>
        <w:spacing w:after="200" w:line="276" w:lineRule="auto"/>
        <w:contextualSpacing/>
        <w:jc w:val="both"/>
        <w:rPr>
          <w:rFonts w:eastAsia="Times New Roman"/>
          <w:color w:val="0070C0"/>
          <w:lang w:eastAsia="zh-TW"/>
        </w:rPr>
      </w:pPr>
      <w:r>
        <w:rPr>
          <w:rFonts w:eastAsia="Times New Roman"/>
          <w:color w:val="0070C0"/>
          <w:lang w:eastAsia="zh-TW"/>
        </w:rPr>
        <w:t>Review committees should be established through a consultative process with a limited number of cluster members. The review committees should, to the extent possible, have different compositions for each of their functions.</w:t>
      </w:r>
    </w:p>
    <w:p w:rsidR="000E43FC" w:rsidRDefault="000E43FC" w:rsidP="000E43FC">
      <w:pPr>
        <w:numPr>
          <w:ilvl w:val="0"/>
          <w:numId w:val="1"/>
        </w:numPr>
        <w:spacing w:after="200" w:line="276" w:lineRule="auto"/>
        <w:contextualSpacing/>
        <w:jc w:val="both"/>
        <w:rPr>
          <w:rFonts w:eastAsia="Times New Roman"/>
          <w:color w:val="0070C0"/>
          <w:lang w:eastAsia="zh-TW"/>
        </w:rPr>
      </w:pPr>
      <w:r>
        <w:rPr>
          <w:rFonts w:eastAsia="Times New Roman"/>
          <w:color w:val="0070C0"/>
          <w:lang w:eastAsia="zh-TW"/>
        </w:rPr>
        <w:t>When delivering the strategic function, the respective review committee should equitably represent the members of the sector and be knowledgeable of humanitarian operations. When delivering the technical function, the respective sector review committee should be composed of a small group of technical experts to review project proposals.</w:t>
      </w:r>
    </w:p>
    <w:p w:rsidR="000E43FC" w:rsidRDefault="000E43FC" w:rsidP="000E43FC">
      <w:pPr>
        <w:numPr>
          <w:ilvl w:val="0"/>
          <w:numId w:val="1"/>
        </w:numPr>
        <w:spacing w:after="200" w:line="276" w:lineRule="auto"/>
        <w:contextualSpacing/>
        <w:jc w:val="both"/>
        <w:rPr>
          <w:rFonts w:eastAsia="Times New Roman"/>
          <w:color w:val="0070C0"/>
          <w:lang w:eastAsia="zh-TW"/>
        </w:rPr>
      </w:pPr>
      <w:r>
        <w:rPr>
          <w:rFonts w:eastAsia="Times New Roman"/>
          <w:color w:val="0070C0"/>
          <w:lang w:eastAsia="zh-TW"/>
        </w:rPr>
        <w:t>Members of the sector review committee involved in the technical review should be selected based on demonstrated technical knowledge of the specific sector. A small group of experts will allow for detailed deliberation on technical aspects of project proposals.</w:t>
      </w:r>
    </w:p>
    <w:p w:rsidR="000E43FC" w:rsidRDefault="000E43FC" w:rsidP="000E43FC">
      <w:pPr>
        <w:numPr>
          <w:ilvl w:val="0"/>
          <w:numId w:val="2"/>
        </w:numPr>
        <w:autoSpaceDE w:val="0"/>
        <w:autoSpaceDN w:val="0"/>
        <w:spacing w:after="200" w:line="276" w:lineRule="auto"/>
        <w:contextualSpacing/>
        <w:jc w:val="both"/>
        <w:rPr>
          <w:rFonts w:eastAsia="Times New Roman"/>
          <w:color w:val="0070C0"/>
          <w:lang w:eastAsia="en-GB"/>
        </w:rPr>
      </w:pPr>
      <w:r>
        <w:rPr>
          <w:rFonts w:eastAsia="Times New Roman"/>
          <w:color w:val="0070C0"/>
          <w:lang w:eastAsia="zh-TW"/>
        </w:rPr>
        <w:t xml:space="preserve">The function of the sector review committees involved in the strategic review of projects can be complemented or replaced by a single committee grouping different stakeholders’ representatives (a representative sample of UN Agencies and NGOs) when this arrangement better suits the context in which the fund operates. </w:t>
      </w:r>
    </w:p>
    <w:p w:rsidR="000E43FC" w:rsidRDefault="000E43FC" w:rsidP="000E43FC">
      <w:pPr>
        <w:numPr>
          <w:ilvl w:val="0"/>
          <w:numId w:val="2"/>
        </w:numPr>
        <w:autoSpaceDE w:val="0"/>
        <w:autoSpaceDN w:val="0"/>
        <w:spacing w:after="200" w:line="276" w:lineRule="auto"/>
        <w:contextualSpacing/>
        <w:jc w:val="both"/>
        <w:rPr>
          <w:rFonts w:eastAsia="Times New Roman"/>
          <w:color w:val="0070C0"/>
        </w:rPr>
      </w:pPr>
      <w:r>
        <w:rPr>
          <w:rFonts w:eastAsia="Times New Roman"/>
          <w:color w:val="0070C0"/>
        </w:rPr>
        <w:t>Members of the respective sector review committees should be nominated from the active members of the relevant sectors. The committees should ensure an equitable representation of UN and NGOs. OCHA/HFU will take part in decision making and support review committees in discharging functions.</w:t>
      </w:r>
    </w:p>
    <w:p w:rsidR="000E43FC" w:rsidRDefault="000E43FC" w:rsidP="000E43FC">
      <w:pPr>
        <w:autoSpaceDE w:val="0"/>
        <w:autoSpaceDN w:val="0"/>
        <w:jc w:val="both"/>
        <w:rPr>
          <w:color w:val="0070C0"/>
          <w:lang w:val="en-US"/>
        </w:rPr>
      </w:pPr>
      <w:r>
        <w:rPr>
          <w:color w:val="0070C0"/>
          <w:lang w:val="en-US"/>
        </w:rPr>
        <w:t xml:space="preserve">Please inform us of the date of the </w:t>
      </w:r>
      <w:proofErr w:type="gramStart"/>
      <w:r>
        <w:rPr>
          <w:color w:val="0070C0"/>
          <w:lang w:val="en-US"/>
        </w:rPr>
        <w:t>technical  review</w:t>
      </w:r>
      <w:proofErr w:type="gramEnd"/>
      <w:r>
        <w:rPr>
          <w:color w:val="0070C0"/>
          <w:lang w:val="en-US"/>
        </w:rPr>
        <w:t xml:space="preserve"> as we need to be present and part of the committee.</w:t>
      </w:r>
    </w:p>
    <w:p w:rsidR="000E43FC" w:rsidRDefault="000E43FC" w:rsidP="000E43FC">
      <w:pPr>
        <w:autoSpaceDE w:val="0"/>
        <w:autoSpaceDN w:val="0"/>
        <w:jc w:val="both"/>
        <w:rPr>
          <w:color w:val="0070C0"/>
          <w:lang w:val="en-US"/>
        </w:rPr>
      </w:pPr>
    </w:p>
    <w:p w:rsidR="000E43FC" w:rsidRDefault="000E43FC" w:rsidP="000E43FC">
      <w:pPr>
        <w:autoSpaceDE w:val="0"/>
        <w:autoSpaceDN w:val="0"/>
        <w:jc w:val="both"/>
        <w:rPr>
          <w:color w:val="0070C0"/>
          <w:lang w:val="en-US"/>
        </w:rPr>
      </w:pPr>
    </w:p>
    <w:p w:rsidR="000E43FC" w:rsidRPr="00E61E04" w:rsidRDefault="00E61E04" w:rsidP="000E43FC">
      <w:pPr>
        <w:autoSpaceDE w:val="0"/>
        <w:autoSpaceDN w:val="0"/>
        <w:jc w:val="both"/>
        <w:rPr>
          <w:b/>
          <w:bCs/>
        </w:rPr>
      </w:pPr>
      <w:r w:rsidRPr="00E61E04">
        <w:rPr>
          <w:b/>
          <w:bCs/>
        </w:rPr>
        <w:t>Note:</w:t>
      </w:r>
    </w:p>
    <w:p w:rsidR="000E43FC" w:rsidRDefault="000E43FC" w:rsidP="000E43FC">
      <w:pPr>
        <w:pStyle w:val="ListParagraph"/>
        <w:numPr>
          <w:ilvl w:val="0"/>
          <w:numId w:val="3"/>
        </w:numPr>
      </w:pPr>
      <w:r>
        <w:rPr>
          <w:b/>
          <w:bCs/>
          <w:u w:val="single"/>
          <w:lang w:eastAsia="en-IE"/>
        </w:rPr>
        <w:t>Maximum amount</w:t>
      </w:r>
      <w:r>
        <w:rPr>
          <w:lang w:eastAsia="en-IE"/>
        </w:rPr>
        <w:t xml:space="preserve"> per partner, per project: US$400,000</w:t>
      </w:r>
    </w:p>
    <w:p w:rsidR="000E43FC" w:rsidRDefault="000E43FC" w:rsidP="000E43FC">
      <w:pPr>
        <w:ind w:firstLine="45"/>
      </w:pPr>
    </w:p>
    <w:p w:rsidR="000E43FC" w:rsidRDefault="000E43FC" w:rsidP="000E43FC">
      <w:pPr>
        <w:pStyle w:val="ListParagraph"/>
        <w:numPr>
          <w:ilvl w:val="0"/>
          <w:numId w:val="3"/>
        </w:numPr>
      </w:pPr>
      <w:r>
        <w:rPr>
          <w:b/>
          <w:bCs/>
          <w:u w:val="single"/>
          <w:lang w:eastAsia="en-IE"/>
        </w:rPr>
        <w:t xml:space="preserve">WASH project in </w:t>
      </w:r>
      <w:proofErr w:type="spellStart"/>
      <w:r>
        <w:rPr>
          <w:b/>
          <w:bCs/>
          <w:u w:val="single"/>
          <w:lang w:eastAsia="en-IE"/>
        </w:rPr>
        <w:t>Azraq</w:t>
      </w:r>
      <w:proofErr w:type="spellEnd"/>
      <w:r>
        <w:rPr>
          <w:b/>
          <w:bCs/>
          <w:u w:val="single"/>
          <w:lang w:eastAsia="en-IE"/>
        </w:rPr>
        <w:t xml:space="preserve"> Village 5</w:t>
      </w:r>
      <w:r>
        <w:rPr>
          <w:lang w:eastAsia="en-IE"/>
        </w:rPr>
        <w:t>: recalling the preliminary feedback from OCHA not to include V5, partners can submit for Village 5, knowing that Village 2 would have a higher priority.</w:t>
      </w:r>
    </w:p>
    <w:p w:rsidR="000E43FC" w:rsidRDefault="000E43FC" w:rsidP="000E43FC">
      <w:r>
        <w:rPr>
          <w:lang w:val="en-US" w:eastAsia="en-IE"/>
        </w:rPr>
        <w:t> </w:t>
      </w:r>
    </w:p>
    <w:p w:rsidR="000E43FC" w:rsidRPr="000E43FC" w:rsidRDefault="000E43FC" w:rsidP="00E61E04">
      <w:pPr>
        <w:rPr>
          <w:color w:val="0070C0"/>
        </w:rPr>
      </w:pPr>
      <w:r>
        <w:rPr>
          <w:b/>
          <w:bCs/>
        </w:rPr>
        <w:t>Reminding call deadlin</w:t>
      </w:r>
      <w:bookmarkStart w:id="0" w:name="_GoBack"/>
      <w:bookmarkEnd w:id="0"/>
      <w:r>
        <w:rPr>
          <w:b/>
          <w:bCs/>
        </w:rPr>
        <w:t xml:space="preserve">e: </w:t>
      </w:r>
      <w:r>
        <w:rPr>
          <w:b/>
          <w:bCs/>
          <w:color w:val="FF0000"/>
        </w:rPr>
        <w:t>midnight</w:t>
      </w:r>
      <w:proofErr w:type="gramStart"/>
      <w:r>
        <w:rPr>
          <w:b/>
          <w:bCs/>
          <w:color w:val="FF0000"/>
        </w:rPr>
        <w:t>,  26</w:t>
      </w:r>
      <w:proofErr w:type="gramEnd"/>
      <w:r>
        <w:rPr>
          <w:b/>
          <w:bCs/>
          <w:color w:val="FF0000"/>
        </w:rPr>
        <w:t xml:space="preserve"> of April, 2018</w:t>
      </w:r>
    </w:p>
    <w:sectPr w:rsidR="000E43FC" w:rsidRPr="000E4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C4F71"/>
    <w:multiLevelType w:val="hybridMultilevel"/>
    <w:tmpl w:val="5A0C0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4F1ED0"/>
    <w:multiLevelType w:val="hybridMultilevel"/>
    <w:tmpl w:val="850C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E4288E"/>
    <w:multiLevelType w:val="hybridMultilevel"/>
    <w:tmpl w:val="FFB0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FC"/>
    <w:rsid w:val="000E43FC"/>
    <w:rsid w:val="003669A6"/>
    <w:rsid w:val="00E6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A7FD3-32FB-4B3B-B7A5-56A91F40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0E43FC"/>
    <w:rPr>
      <w:rFonts w:ascii="Calibri" w:hAnsi="Calibri"/>
    </w:rPr>
  </w:style>
  <w:style w:type="paragraph" w:styleId="ListParagraph">
    <w:name w:val="List Paragraph"/>
    <w:basedOn w:val="Normal"/>
    <w:link w:val="ListParagraphChar"/>
    <w:uiPriority w:val="34"/>
    <w:qFormat/>
    <w:rsid w:val="000E43FC"/>
    <w:pPr>
      <w:ind w:left="72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711">
      <w:bodyDiv w:val="1"/>
      <w:marLeft w:val="0"/>
      <w:marRight w:val="0"/>
      <w:marTop w:val="0"/>
      <w:marBottom w:val="0"/>
      <w:divBdr>
        <w:top w:val="none" w:sz="0" w:space="0" w:color="auto"/>
        <w:left w:val="none" w:sz="0" w:space="0" w:color="auto"/>
        <w:bottom w:val="none" w:sz="0" w:space="0" w:color="auto"/>
        <w:right w:val="none" w:sz="0" w:space="0" w:color="auto"/>
      </w:divBdr>
    </w:div>
    <w:div w:id="20649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Company>UNHCR</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Gorgui Niokhor Diouf</dc:creator>
  <cp:keywords/>
  <dc:description/>
  <cp:lastModifiedBy>Gorgui Niokhor Diouf</cp:lastModifiedBy>
  <cp:revision>2</cp:revision>
  <dcterms:created xsi:type="dcterms:W3CDTF">2018-04-24T13:41:00Z</dcterms:created>
  <dcterms:modified xsi:type="dcterms:W3CDTF">2018-04-24T13:46:00Z</dcterms:modified>
</cp:coreProperties>
</file>