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561" w:rsidRPr="00E60A6C" w:rsidRDefault="005E0F19" w:rsidP="00E60A6C">
      <w:pPr>
        <w:pStyle w:val="Heading1"/>
        <w:jc w:val="center"/>
        <w:rPr>
          <w:rFonts w:ascii="Segoe UI" w:hAnsi="Segoe UI" w:cs="Segoe UI"/>
          <w:b w:val="0"/>
          <w:bCs w:val="0"/>
        </w:rPr>
      </w:pPr>
      <w:r w:rsidRPr="00E60A6C">
        <w:rPr>
          <w:rFonts w:ascii="Segoe UI" w:hAnsi="Segoe UI" w:cs="Segoe UI"/>
          <w:b w:val="0"/>
          <w:bCs w:val="0"/>
        </w:rPr>
        <w:t xml:space="preserve">Assessment Working Group: Methodology </w:t>
      </w:r>
      <w:r w:rsidR="00025C56" w:rsidRPr="00E60A6C">
        <w:rPr>
          <w:rFonts w:ascii="Segoe UI" w:hAnsi="Segoe UI" w:cs="Segoe UI"/>
          <w:b w:val="0"/>
          <w:bCs w:val="0"/>
          <w:lang w:val="en-GB"/>
        </w:rPr>
        <w:t>Guidance</w:t>
      </w:r>
      <w:r w:rsidR="00025C56" w:rsidRPr="00E60A6C">
        <w:rPr>
          <w:rFonts w:ascii="Segoe UI" w:hAnsi="Segoe UI" w:cs="Segoe UI"/>
          <w:b w:val="0"/>
          <w:bCs w:val="0"/>
        </w:rPr>
        <w:t xml:space="preserve"> </w:t>
      </w:r>
      <w:r w:rsidR="000C26A3" w:rsidRPr="00E60A6C">
        <w:rPr>
          <w:rFonts w:ascii="Segoe UI" w:hAnsi="Segoe UI" w:cs="Segoe UI"/>
          <w:b w:val="0"/>
          <w:bCs w:val="0"/>
        </w:rPr>
        <w:t>Checklist</w:t>
      </w:r>
    </w:p>
    <w:p w:rsidR="005E0F19" w:rsidRPr="00A37631" w:rsidRDefault="005E0F19" w:rsidP="00E60A6C">
      <w:pPr>
        <w:pStyle w:val="Heading2"/>
      </w:pPr>
      <w:r w:rsidRPr="00E60A6C">
        <w:t>Background</w:t>
      </w:r>
    </w:p>
    <w:p w:rsidR="005E0F19" w:rsidRPr="00A37631" w:rsidRDefault="0086735C" w:rsidP="00E60A6C">
      <w:r w:rsidRPr="00A37631">
        <w:t>T</w:t>
      </w:r>
      <w:r w:rsidR="005E0F19" w:rsidRPr="00A37631">
        <w:t xml:space="preserve">his </w:t>
      </w:r>
      <w:r w:rsidR="00025C56" w:rsidRPr="00A37631">
        <w:t>methodology</w:t>
      </w:r>
      <w:r w:rsidR="005E0F19" w:rsidRPr="00A37631">
        <w:t xml:space="preserve"> has been produced by the Assessment Working Group (AWG) to assist </w:t>
      </w:r>
      <w:r w:rsidR="00F474C0" w:rsidRPr="00A37631">
        <w:t>organizations</w:t>
      </w:r>
      <w:r w:rsidR="005E0F19" w:rsidRPr="00A37631">
        <w:t xml:space="preserve"> undertaking assessments in Lebanon. The AWG Methodology team will use this guide </w:t>
      </w:r>
      <w:r w:rsidR="00025C56" w:rsidRPr="00A37631">
        <w:t xml:space="preserve">while supporting </w:t>
      </w:r>
      <w:r w:rsidR="00025C56" w:rsidRPr="00E60A6C">
        <w:t>agencies</w:t>
      </w:r>
      <w:r w:rsidR="00025C56" w:rsidRPr="00A37631">
        <w:t xml:space="preserve"> conducting assessments in the development of clear and coherent assessment methodologies. As per the MSNA recommendations, the AWG aims </w:t>
      </w:r>
      <w:r w:rsidR="00A52C52" w:rsidRPr="00A37631">
        <w:t xml:space="preserve">at </w:t>
      </w:r>
      <w:r w:rsidR="00025C56" w:rsidRPr="00A37631">
        <w:t>develop</w:t>
      </w:r>
      <w:r w:rsidR="00A52C52" w:rsidRPr="00A37631">
        <w:t>ing</w:t>
      </w:r>
      <w:r w:rsidR="00025C56" w:rsidRPr="00A37631">
        <w:t xml:space="preserve"> a set of minimum standards and best practices for upcoming assessments in order to reduce the considerable methodological limitations identified through the MSNA phase 1. </w:t>
      </w:r>
    </w:p>
    <w:p w:rsidR="005E0F19" w:rsidRPr="00A37631" w:rsidRDefault="005E0F19" w:rsidP="00E60A6C">
      <w:pPr>
        <w:pStyle w:val="Heading2"/>
      </w:pPr>
      <w:r w:rsidRPr="00A37631">
        <w:t>When to conduct a needs assessment</w:t>
      </w:r>
    </w:p>
    <w:p w:rsidR="005E0F19" w:rsidRPr="00A37631" w:rsidRDefault="005E0F19" w:rsidP="00E60A6C">
      <w:r w:rsidRPr="00A37631">
        <w:t>A needs assessment may be required at any of the following points:</w:t>
      </w:r>
    </w:p>
    <w:p w:rsidR="005E0F19" w:rsidRPr="00E60A6C" w:rsidRDefault="005E0F19" w:rsidP="00E60A6C">
      <w:pPr>
        <w:pStyle w:val="ListParagraph"/>
      </w:pPr>
      <w:r w:rsidRPr="00E60A6C">
        <w:t>A new crisis emerges;</w:t>
      </w:r>
    </w:p>
    <w:p w:rsidR="005E0F19" w:rsidRPr="00E60A6C" w:rsidRDefault="005E0F19" w:rsidP="00E60A6C">
      <w:pPr>
        <w:pStyle w:val="ListParagraph"/>
      </w:pPr>
      <w:r w:rsidRPr="00E60A6C">
        <w:t>A sudden change occurs in an existing crisis;</w:t>
      </w:r>
    </w:p>
    <w:p w:rsidR="005E0F19" w:rsidRPr="00E60A6C" w:rsidRDefault="005E0F19" w:rsidP="00E60A6C">
      <w:pPr>
        <w:pStyle w:val="ListParagraph"/>
      </w:pPr>
      <w:r w:rsidRPr="00E60A6C">
        <w:t>Additional information is required relating to a specific situation;</w:t>
      </w:r>
    </w:p>
    <w:p w:rsidR="005E0F19" w:rsidRPr="00E60A6C" w:rsidRDefault="005E0F19" w:rsidP="00E60A6C">
      <w:pPr>
        <w:pStyle w:val="ListParagraph"/>
      </w:pPr>
      <w:r w:rsidRPr="00E60A6C">
        <w:t>Contingency planning is undertaken;</w:t>
      </w:r>
    </w:p>
    <w:p w:rsidR="005E0F19" w:rsidRPr="00E60A6C" w:rsidRDefault="005E0F19" w:rsidP="00E60A6C">
      <w:pPr>
        <w:pStyle w:val="ListParagraph"/>
      </w:pPr>
      <w:r w:rsidRPr="00E60A6C">
        <w:t>It is necessary to confirm whether beneficiary needs have been met and whether new needs have arisen;</w:t>
      </w:r>
    </w:p>
    <w:p w:rsidR="005E0F19" w:rsidRPr="00E60A6C" w:rsidRDefault="005E0F19" w:rsidP="00E60A6C">
      <w:pPr>
        <w:pStyle w:val="ListParagraph"/>
      </w:pPr>
      <w:r w:rsidRPr="00E60A6C">
        <w:t>A change of policy provides new opportunities, or</w:t>
      </w:r>
    </w:p>
    <w:p w:rsidR="005E0F19" w:rsidRPr="00E60A6C" w:rsidRDefault="005E0F19" w:rsidP="00E60A6C">
      <w:pPr>
        <w:pStyle w:val="ListParagraph"/>
      </w:pPr>
      <w:r w:rsidRPr="00E60A6C">
        <w:t>A funding request is planned where identification of needs is essential.</w:t>
      </w:r>
    </w:p>
    <w:p w:rsidR="00D50C95" w:rsidRPr="00A37631" w:rsidRDefault="005E0F19" w:rsidP="00E60A6C">
      <w:r w:rsidRPr="00A37631">
        <w:t>There are some situations in which a needs assessment should not be conducted:</w:t>
      </w:r>
    </w:p>
    <w:p w:rsidR="005E0F19" w:rsidRPr="00E60A6C" w:rsidRDefault="005E0F19" w:rsidP="00E60A6C">
      <w:pPr>
        <w:pStyle w:val="ListParagraph"/>
      </w:pPr>
      <w:r w:rsidRPr="00E60A6C">
        <w:t>When programmatic decisions have already been made and the assessment results will have no operational relevance;</w:t>
      </w:r>
    </w:p>
    <w:p w:rsidR="00D50C95" w:rsidRPr="00E60A6C" w:rsidRDefault="005E0F19" w:rsidP="00E60A6C">
      <w:pPr>
        <w:pStyle w:val="ListParagraph"/>
      </w:pPr>
      <w:r w:rsidRPr="00E60A6C">
        <w:t>When additional information is not required because there are few, if any, information gaps that need to be filled;</w:t>
      </w:r>
    </w:p>
    <w:p w:rsidR="005E0F19" w:rsidRPr="00E60A6C" w:rsidRDefault="005E0F19" w:rsidP="00E60A6C">
      <w:pPr>
        <w:pStyle w:val="ListParagraph"/>
      </w:pPr>
      <w:r w:rsidRPr="00E60A6C">
        <w:t>When conducting an assessment will put data collectors or interviewees in harm’s way;</w:t>
      </w:r>
    </w:p>
    <w:p w:rsidR="005E0F19" w:rsidRPr="00E60A6C" w:rsidRDefault="005E0F19" w:rsidP="00E60A6C">
      <w:pPr>
        <w:pStyle w:val="ListParagraph"/>
      </w:pPr>
      <w:r w:rsidRPr="00E60A6C">
        <w:t>When the results of an assessment will be incorrect or extremely biased (such as when interviewees do not feel secure enough to tell the truth) or if other factors will limit the effectiveness of the needs assessment; and</w:t>
      </w:r>
    </w:p>
    <w:p w:rsidR="005E0F19" w:rsidRPr="00E60A6C" w:rsidRDefault="005E0F19" w:rsidP="00E60A6C">
      <w:pPr>
        <w:pStyle w:val="ListParagraph"/>
      </w:pPr>
      <w:r w:rsidRPr="00E60A6C">
        <w:t>When a population feels over-assessed.</w:t>
      </w:r>
    </w:p>
    <w:p w:rsidR="00323294" w:rsidRPr="00A37631" w:rsidRDefault="005E0F19" w:rsidP="00E60A6C">
      <w:r w:rsidRPr="00A37631">
        <w:lastRenderedPageBreak/>
        <w:t xml:space="preserve">For the last three situations above, conducting a needs assessment through a secondary data review only, without any new primary data collection, might be an alternative. </w:t>
      </w:r>
    </w:p>
    <w:p w:rsidR="00AA54C4" w:rsidRPr="00A37631" w:rsidRDefault="007463D6" w:rsidP="00E60A6C">
      <w:pPr>
        <w:pStyle w:val="Heading2"/>
      </w:pPr>
      <w:r w:rsidRPr="00A37631">
        <w:t xml:space="preserve">Where to start? </w:t>
      </w:r>
    </w:p>
    <w:p w:rsidR="00323294" w:rsidRPr="00A37631" w:rsidRDefault="007463D6" w:rsidP="00E60A6C">
      <w:r w:rsidRPr="00A37631">
        <w:t>Always start with a secondary data analysis</w:t>
      </w:r>
      <w:r w:rsidR="00323294" w:rsidRPr="00A37631">
        <w:t xml:space="preserve"> – depending on what you find here you may not need to do an assessment involving primary data collection.</w:t>
      </w:r>
    </w:p>
    <w:p w:rsidR="00323294" w:rsidRPr="00A37631" w:rsidRDefault="007463D6" w:rsidP="00E60A6C">
      <w:r w:rsidRPr="00A37631">
        <w:t xml:space="preserve">Having a specific objective for the </w:t>
      </w:r>
      <w:r w:rsidR="00323294" w:rsidRPr="00A37631">
        <w:t xml:space="preserve">primary </w:t>
      </w:r>
      <w:r w:rsidRPr="00A37631">
        <w:t xml:space="preserve">assessment requires taking into account the secondary data analysis (what do we have already) in correlation to the strategy (what information is needed); from there you derive your information gap, and therefore the objectives of your assessment. </w:t>
      </w:r>
      <w:r w:rsidR="0086735C" w:rsidRPr="00A37631">
        <w:t>Then</w:t>
      </w:r>
      <w:r w:rsidRPr="00A37631">
        <w:t>, you can determine your research questions.</w:t>
      </w:r>
      <w:r w:rsidR="00323294" w:rsidRPr="00A37631">
        <w:t xml:space="preserve"> </w:t>
      </w:r>
    </w:p>
    <w:p w:rsidR="00A37631" w:rsidRPr="00A37631" w:rsidRDefault="00B62FDE" w:rsidP="00E60A6C">
      <w:r w:rsidRPr="00A37631">
        <w:t>Large scale a</w:t>
      </w:r>
      <w:r w:rsidR="00323294" w:rsidRPr="00A37631">
        <w:t>ssessments are best done through a consultative process involving the partners that will use the results in the end. Th</w:t>
      </w:r>
      <w:r w:rsidRPr="00A37631">
        <w:t>i</w:t>
      </w:r>
      <w:r w:rsidR="00323294" w:rsidRPr="00A37631">
        <w:t xml:space="preserve">s collaboration should start with the secondary data collection, </w:t>
      </w:r>
      <w:r w:rsidRPr="00A37631">
        <w:t xml:space="preserve">and continue through </w:t>
      </w:r>
      <w:r w:rsidR="00323294" w:rsidRPr="00A37631">
        <w:t xml:space="preserve">establishing objectives, </w:t>
      </w:r>
      <w:r w:rsidRPr="00A37631">
        <w:t>making an assessment plan and carrying out the primary</w:t>
      </w:r>
      <w:r w:rsidR="00323294" w:rsidRPr="00A37631">
        <w:t xml:space="preserve"> data collection, </w:t>
      </w:r>
      <w:r w:rsidRPr="00A37631">
        <w:t>analyzing the collected data, agreeing on the findings/recommendations and disseminating the results</w:t>
      </w:r>
      <w:r w:rsidR="00323294" w:rsidRPr="00A37631">
        <w:t xml:space="preserve">. </w:t>
      </w:r>
    </w:p>
    <w:p w:rsidR="00A37631" w:rsidRPr="00E60A6C" w:rsidRDefault="005E0F19" w:rsidP="00E60A6C">
      <w:pPr>
        <w:pStyle w:val="Heading2"/>
        <w:rPr>
          <w:lang w:val="en-US"/>
        </w:rPr>
      </w:pPr>
      <w:r w:rsidRPr="00A37631">
        <w:t>Formulation of research question</w:t>
      </w:r>
    </w:p>
    <w:p w:rsidR="005E0F19" w:rsidRPr="00A37631" w:rsidRDefault="005E0F19" w:rsidP="00E60A6C">
      <w:pPr>
        <w:rPr>
          <w:sz w:val="24"/>
          <w:szCs w:val="24"/>
        </w:rPr>
      </w:pPr>
      <w:r w:rsidRPr="00A37631">
        <w:t xml:space="preserve">The research question describes what the assessment is trying to find out. It should be unique, and not duplicate a question that has already been answered. The research question should aim to fill a gap in knowledge that was preventing decisions from being made, and thereby enable humanitarian actors to take informed decisions that were previously impossible. </w:t>
      </w:r>
    </w:p>
    <w:p w:rsidR="005E0F19" w:rsidRPr="00A37631" w:rsidRDefault="005E0F19" w:rsidP="00E60A6C">
      <w:pPr>
        <w:rPr>
          <w:sz w:val="24"/>
          <w:szCs w:val="24"/>
        </w:rPr>
      </w:pPr>
      <w:r w:rsidRPr="00A37631">
        <w:t>With this in mind the following considerations should be taken into account when developing a research question:</w:t>
      </w:r>
    </w:p>
    <w:p w:rsidR="005E0F19" w:rsidRPr="00E60A6C" w:rsidRDefault="005E0F19" w:rsidP="00E60A6C">
      <w:pPr>
        <w:pStyle w:val="ListParagraph"/>
      </w:pPr>
      <w:r w:rsidRPr="00E60A6C">
        <w:t>What decisions need to be made?</w:t>
      </w:r>
    </w:p>
    <w:p w:rsidR="005E0F19" w:rsidRPr="00E60A6C" w:rsidRDefault="005E0F19" w:rsidP="00E60A6C">
      <w:pPr>
        <w:pStyle w:val="ListParagraph"/>
      </w:pPr>
      <w:r w:rsidRPr="00E60A6C">
        <w:t>Who will be making those decisions?</w:t>
      </w:r>
    </w:p>
    <w:p w:rsidR="005E0F19" w:rsidRPr="00E60A6C" w:rsidRDefault="005E0F19" w:rsidP="00E60A6C">
      <w:pPr>
        <w:pStyle w:val="ListParagraph"/>
      </w:pPr>
      <w:r w:rsidRPr="00E60A6C">
        <w:t>When will these decisions be made?</w:t>
      </w:r>
    </w:p>
    <w:p w:rsidR="005E0F19" w:rsidRPr="00E60A6C" w:rsidRDefault="005E0F19" w:rsidP="00E60A6C">
      <w:pPr>
        <w:pStyle w:val="ListParagraph"/>
      </w:pPr>
      <w:r w:rsidRPr="00E60A6C">
        <w:t>What information gaps need to be filled in order to make the decisions?</w:t>
      </w:r>
    </w:p>
    <w:p w:rsidR="005E0F19" w:rsidRPr="00E60A6C" w:rsidRDefault="005E0F19" w:rsidP="00E60A6C">
      <w:pPr>
        <w:pStyle w:val="ListParagraph"/>
      </w:pPr>
      <w:r w:rsidRPr="00E60A6C">
        <w:t xml:space="preserve">How can </w:t>
      </w:r>
      <w:r w:rsidR="00B62FDE" w:rsidRPr="00E60A6C">
        <w:t>we</w:t>
      </w:r>
      <w:r w:rsidRPr="00E60A6C">
        <w:t xml:space="preserve"> get this information?</w:t>
      </w:r>
    </w:p>
    <w:p w:rsidR="005E0F19" w:rsidRPr="00A37631" w:rsidRDefault="005E0F19" w:rsidP="00E60A6C">
      <w:pPr>
        <w:rPr>
          <w:sz w:val="24"/>
          <w:szCs w:val="24"/>
        </w:rPr>
      </w:pPr>
      <w:r w:rsidRPr="00A37631">
        <w:t xml:space="preserve">In addition to ensuring that the research question(s) represent a clearly defined information gap, </w:t>
      </w:r>
      <w:r w:rsidRPr="00A37631">
        <w:rPr>
          <w:b/>
          <w:bCs/>
        </w:rPr>
        <w:t>organisational capacity / expertise, available resources, and time constraints</w:t>
      </w:r>
      <w:r w:rsidRPr="00A37631">
        <w:t xml:space="preserve"> need to be taken into account when establishing the scope of the assessment.</w:t>
      </w:r>
      <w:r w:rsidR="00F474C0" w:rsidRPr="00A37631">
        <w:t xml:space="preserve"> </w:t>
      </w:r>
    </w:p>
    <w:p w:rsidR="005E0F19" w:rsidRPr="00A37631" w:rsidRDefault="005E0F19" w:rsidP="00E60A6C">
      <w:r w:rsidRPr="00A37631">
        <w:lastRenderedPageBreak/>
        <w:t xml:space="preserve">Examples of research questions are: "What is the effect of the Syrian Refugee Crisis on the informal labour market in the districts of Tyre, Nabatieh and Jezzine in Lebanon?" or "What are the primary determinants of vulnerability of households living in Informal Settlements in Lebanon?" (Also see: </w:t>
      </w:r>
      <w:hyperlink r:id="rId8" w:history="1">
        <w:r w:rsidR="007463D6" w:rsidRPr="00A37631">
          <w:rPr>
            <w:rStyle w:val="Hyperlink"/>
            <w:sz w:val="23"/>
            <w:szCs w:val="23"/>
          </w:rPr>
          <w:t>http://en.wikipedia.org/wiki/Research_question</w:t>
        </w:r>
      </w:hyperlink>
      <w:r w:rsidRPr="00A37631">
        <w:t>)</w:t>
      </w:r>
    </w:p>
    <w:p w:rsidR="007463D6" w:rsidRPr="00A37631" w:rsidRDefault="007463D6" w:rsidP="00E60A6C">
      <w:r w:rsidRPr="00A37631">
        <w:t>Once you have define</w:t>
      </w:r>
      <w:r w:rsidR="0086735C" w:rsidRPr="00A37631">
        <w:t>d</w:t>
      </w:r>
      <w:r w:rsidRPr="00A37631">
        <w:t xml:space="preserve"> your research questions, you can establish your assessment plan. </w:t>
      </w:r>
    </w:p>
    <w:p w:rsidR="0086735C" w:rsidRPr="00A37631" w:rsidRDefault="0086735C" w:rsidP="00E60A6C">
      <w:pPr>
        <w:rPr>
          <w:lang w:val="en-GB"/>
        </w:rPr>
      </w:pPr>
    </w:p>
    <w:p w:rsidR="007463D6" w:rsidRPr="00E60A6C" w:rsidRDefault="007463D6" w:rsidP="00E60A6C">
      <w:pPr>
        <w:pStyle w:val="Heading2"/>
      </w:pPr>
      <w:r w:rsidRPr="00E60A6C">
        <w:t>How do I develop an assessment plan?</w:t>
      </w:r>
    </w:p>
    <w:p w:rsidR="007463D6" w:rsidRPr="00A37631" w:rsidRDefault="007463D6" w:rsidP="00E60A6C">
      <w:pPr>
        <w:rPr>
          <w:lang w:val="en-GB"/>
        </w:rPr>
      </w:pPr>
      <w:r w:rsidRPr="00A37631">
        <w:rPr>
          <w:lang w:val="en-GB"/>
        </w:rPr>
        <w:t>Your assessment plan should contain five elements:</w:t>
      </w:r>
    </w:p>
    <w:p w:rsidR="007463D6" w:rsidRPr="00E60A6C" w:rsidRDefault="007463D6" w:rsidP="00E60A6C">
      <w:pPr>
        <w:pStyle w:val="ListParagraph"/>
      </w:pPr>
      <w:r w:rsidRPr="00E60A6C">
        <w:rPr>
          <w:b/>
          <w:bCs/>
        </w:rPr>
        <w:t>Objectives</w:t>
      </w:r>
      <w:r w:rsidRPr="00E60A6C">
        <w:t>: Terms of Reference with measurable goals and clear objectives, timeframe (including delivery dates and reporting frequency), the specific deliverables and which decisions they will inform.</w:t>
      </w:r>
    </w:p>
    <w:p w:rsidR="007463D6" w:rsidRPr="00E60A6C" w:rsidRDefault="007463D6" w:rsidP="00E60A6C">
      <w:pPr>
        <w:pStyle w:val="ListParagraph"/>
      </w:pPr>
      <w:r w:rsidRPr="00E60A6C">
        <w:rPr>
          <w:b/>
          <w:bCs/>
        </w:rPr>
        <w:t>Scope</w:t>
      </w:r>
      <w:r w:rsidRPr="00E60A6C">
        <w:t>: What data do you need to gather? Work with stakeholders to state their specific information needs.</w:t>
      </w:r>
    </w:p>
    <w:p w:rsidR="007463D6" w:rsidRPr="00E60A6C" w:rsidRDefault="007463D6" w:rsidP="00E60A6C">
      <w:pPr>
        <w:pStyle w:val="ListParagraph"/>
      </w:pPr>
      <w:r w:rsidRPr="00E60A6C">
        <w:rPr>
          <w:b/>
          <w:bCs/>
        </w:rPr>
        <w:t>Methodology</w:t>
      </w:r>
      <w:r w:rsidRPr="00E60A6C">
        <w:t>: How will you collect the data?</w:t>
      </w:r>
    </w:p>
    <w:p w:rsidR="007463D6" w:rsidRPr="00E60A6C" w:rsidRDefault="007463D6" w:rsidP="00E60A6C">
      <w:pPr>
        <w:pStyle w:val="ListParagraph"/>
      </w:pPr>
      <w:r w:rsidRPr="00E60A6C">
        <w:rPr>
          <w:b/>
          <w:bCs/>
        </w:rPr>
        <w:t>Analysis</w:t>
      </w:r>
      <w:r w:rsidRPr="00E60A6C">
        <w:t>: How will you analyse your data and reach your conclusions?</w:t>
      </w:r>
    </w:p>
    <w:p w:rsidR="007463D6" w:rsidRPr="00E60A6C" w:rsidRDefault="007463D6" w:rsidP="00E60A6C">
      <w:pPr>
        <w:pStyle w:val="ListParagraph"/>
      </w:pPr>
      <w:r w:rsidRPr="00E60A6C">
        <w:rPr>
          <w:b/>
          <w:bCs/>
        </w:rPr>
        <w:t>Dissemination</w:t>
      </w:r>
      <w:r w:rsidRPr="00E60A6C">
        <w:t>: How will you communicate your findings?</w:t>
      </w:r>
    </w:p>
    <w:p w:rsidR="007463D6" w:rsidRPr="00A37631" w:rsidRDefault="007463D6" w:rsidP="00E60A6C">
      <w:r w:rsidRPr="00A37631">
        <w:t xml:space="preserve">When presenting your methodology, you should make sure to define your sampling strategy, your data collection method(s), your unit of measurement, and the characteristics of your data collection tool(s). </w:t>
      </w:r>
    </w:p>
    <w:p w:rsidR="0086735C" w:rsidRPr="00A37631" w:rsidRDefault="0086735C" w:rsidP="00E60A6C"/>
    <w:p w:rsidR="00E60A6C" w:rsidRDefault="00E60A6C">
      <w:pPr>
        <w:spacing w:before="0" w:after="0" w:line="240" w:lineRule="auto"/>
        <w:ind w:left="0" w:right="0"/>
        <w:jc w:val="left"/>
        <w:outlineLvl w:val="9"/>
        <w:rPr>
          <w:rFonts w:cs="Times New Roman"/>
          <w:sz w:val="28"/>
          <w:szCs w:val="28"/>
          <w:lang w:val="x-none" w:eastAsia="x-none"/>
        </w:rPr>
      </w:pPr>
      <w:r>
        <w:br w:type="page"/>
      </w:r>
    </w:p>
    <w:p w:rsidR="005E0F19" w:rsidRPr="00A37631" w:rsidRDefault="005E0F19" w:rsidP="00E60A6C">
      <w:pPr>
        <w:pStyle w:val="Heading2"/>
        <w:rPr>
          <w:sz w:val="48"/>
          <w:szCs w:val="48"/>
        </w:rPr>
      </w:pPr>
      <w:r w:rsidRPr="00A37631">
        <w:lastRenderedPageBreak/>
        <w:t>Sampling strategy</w:t>
      </w:r>
      <w:r w:rsidR="00BB68BC" w:rsidRPr="00A37631">
        <w:t xml:space="preserve"> (households / individual assessment)</w:t>
      </w:r>
    </w:p>
    <w:p w:rsidR="005E0F19" w:rsidRPr="00E60A6C" w:rsidRDefault="00E60A6C" w:rsidP="00E60A6C">
      <w:pPr>
        <w:pStyle w:val="Heading3"/>
        <w:rPr>
          <w:lang w:val="en-US"/>
        </w:rPr>
      </w:pPr>
      <w:r>
        <w:t>Sample Frames</w:t>
      </w:r>
    </w:p>
    <w:p w:rsidR="005E0F19" w:rsidRPr="00A37631" w:rsidRDefault="00AE47B6" w:rsidP="00E60A6C">
      <w:pPr>
        <w:rPr>
          <w:sz w:val="24"/>
          <w:szCs w:val="24"/>
        </w:rPr>
      </w:pPr>
      <w:r w:rsidRPr="00A37631">
        <w:t>When implementing probability-</w:t>
      </w:r>
      <w:r w:rsidR="005E0F19" w:rsidRPr="00A37631">
        <w:t>based sa</w:t>
      </w:r>
      <w:r w:rsidRPr="00A37631">
        <w:t xml:space="preserve">mpling strategies (see </w:t>
      </w:r>
      <w:r w:rsidR="005E0F19" w:rsidRPr="00A37631">
        <w:t xml:space="preserve">below), </w:t>
      </w:r>
      <w:r w:rsidR="005E0F19" w:rsidRPr="00A37631">
        <w:rPr>
          <w:b/>
          <w:bCs/>
        </w:rPr>
        <w:t xml:space="preserve">an appropriate sample frame for each targeted population groups should be </w:t>
      </w:r>
      <w:r w:rsidR="0086735C" w:rsidRPr="00A37631">
        <w:rPr>
          <w:b/>
          <w:bCs/>
        </w:rPr>
        <w:t>used</w:t>
      </w:r>
      <w:r w:rsidRPr="00A37631">
        <w:rPr>
          <w:b/>
          <w:bCs/>
        </w:rPr>
        <w:t xml:space="preserve">. </w:t>
      </w:r>
      <w:r w:rsidRPr="00A37631">
        <w:t>T</w:t>
      </w:r>
      <w:r w:rsidR="005E0F19" w:rsidRPr="00A37631">
        <w:t>he AWG has identified the following sample fr</w:t>
      </w:r>
      <w:r w:rsidRPr="00A37631">
        <w:t>ames for each population group and can assist in deciding on the appropriate frame for more specific populations of interest.</w:t>
      </w:r>
    </w:p>
    <w:tbl>
      <w:tblPr>
        <w:tblW w:w="0" w:type="auto"/>
        <w:tblInd w:w="1200" w:type="dxa"/>
        <w:tblCellMar>
          <w:top w:w="15" w:type="dxa"/>
          <w:left w:w="15" w:type="dxa"/>
          <w:bottom w:w="15" w:type="dxa"/>
          <w:right w:w="15" w:type="dxa"/>
        </w:tblCellMar>
        <w:tblLook w:val="04A0" w:firstRow="1" w:lastRow="0" w:firstColumn="1" w:lastColumn="0" w:noHBand="0" w:noVBand="1"/>
      </w:tblPr>
      <w:tblGrid>
        <w:gridCol w:w="4079"/>
        <w:gridCol w:w="3988"/>
      </w:tblGrid>
      <w:tr w:rsidR="005E0F19" w:rsidRPr="00A37631" w:rsidTr="0086735C">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hideMark/>
          </w:tcPr>
          <w:p w:rsidR="005E0F19" w:rsidRPr="00A37631" w:rsidRDefault="005E0F19" w:rsidP="00E60A6C">
            <w:pPr>
              <w:rPr>
                <w:sz w:val="24"/>
                <w:szCs w:val="24"/>
              </w:rPr>
            </w:pPr>
            <w:r w:rsidRPr="00A37631">
              <w:t>Population Group</w:t>
            </w:r>
          </w:p>
        </w:tc>
        <w:tc>
          <w:tcPr>
            <w:tcW w:w="0" w:type="auto"/>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hideMark/>
          </w:tcPr>
          <w:p w:rsidR="005E0F19" w:rsidRPr="00A37631" w:rsidRDefault="005E0F19" w:rsidP="00E60A6C">
            <w:pPr>
              <w:rPr>
                <w:sz w:val="24"/>
                <w:szCs w:val="24"/>
              </w:rPr>
            </w:pPr>
            <w:r w:rsidRPr="00A37631">
              <w:t>Available sample frame(s)</w:t>
            </w:r>
          </w:p>
        </w:tc>
      </w:tr>
      <w:tr w:rsidR="005E0F19"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Registered Syrian Refugees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UNHCR’s proGres</w:t>
            </w:r>
          </w:p>
        </w:tc>
      </w:tr>
      <w:tr w:rsidR="005E0F19"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Unregistered Syrians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 xml:space="preserve">Newcomers database / </w:t>
            </w:r>
            <w:r w:rsidR="0086735C" w:rsidRPr="00A37631">
              <w:rPr>
                <w:b/>
                <w:bCs/>
              </w:rPr>
              <w:t>N</w:t>
            </w:r>
            <w:r w:rsidRPr="00A37631">
              <w:rPr>
                <w:b/>
                <w:bCs/>
              </w:rPr>
              <w:t>one</w:t>
            </w:r>
          </w:p>
        </w:tc>
      </w:tr>
      <w:tr w:rsidR="005E0F19"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Palestinian residents of Lebanon</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UNRWA registration</w:t>
            </w:r>
          </w:p>
        </w:tc>
      </w:tr>
      <w:tr w:rsidR="005E0F19"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Palestinian residents of Syria</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UNRWA registration</w:t>
            </w:r>
          </w:p>
        </w:tc>
      </w:tr>
      <w:tr w:rsidR="005E0F19"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Lebanese returnees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IOM registration</w:t>
            </w:r>
          </w:p>
        </w:tc>
      </w:tr>
      <w:tr w:rsidR="005E0F19" w:rsidRPr="00A37631" w:rsidTr="0086735C">
        <w:trPr>
          <w:trHeight w:val="318"/>
        </w:trPr>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Lebanese host communities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5E0F19" w:rsidRPr="00A37631" w:rsidRDefault="005E0F19" w:rsidP="00E60A6C">
            <w:pPr>
              <w:rPr>
                <w:sz w:val="24"/>
                <w:szCs w:val="24"/>
              </w:rPr>
            </w:pPr>
            <w:r w:rsidRPr="00A37631">
              <w:t xml:space="preserve">Private statistics agency / </w:t>
            </w:r>
            <w:r w:rsidRPr="00A37631">
              <w:rPr>
                <w:b/>
                <w:bCs/>
              </w:rPr>
              <w:t>None</w:t>
            </w:r>
          </w:p>
        </w:tc>
      </w:tr>
      <w:tr w:rsidR="007463D6" w:rsidRPr="00A37631" w:rsidTr="0086735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7463D6" w:rsidRPr="00A37631" w:rsidRDefault="007463D6" w:rsidP="00E60A6C">
            <w:r w:rsidRPr="00A37631">
              <w:t>Iraqi refugees</w:t>
            </w:r>
          </w:p>
        </w:tc>
        <w:tc>
          <w:tcPr>
            <w:tcW w:w="0" w:type="auto"/>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hideMark/>
          </w:tcPr>
          <w:p w:rsidR="007463D6" w:rsidRPr="00A37631" w:rsidRDefault="0086735C" w:rsidP="00E60A6C">
            <w:r w:rsidRPr="00A37631">
              <w:t>RAIS /</w:t>
            </w:r>
            <w:r w:rsidRPr="00A37631">
              <w:rPr>
                <w:b/>
                <w:bCs/>
              </w:rPr>
              <w:t xml:space="preserve"> None</w:t>
            </w:r>
          </w:p>
        </w:tc>
      </w:tr>
    </w:tbl>
    <w:p w:rsidR="005E0F19" w:rsidRPr="00A37631" w:rsidRDefault="005E0F19" w:rsidP="00E60A6C">
      <w:r w:rsidRPr="00A37631">
        <w:t xml:space="preserve">For population groups where there is no reliable sample frame or if the sample frame is inaccessible, for example unregistered Syrians or Lebanese host communities, </w:t>
      </w:r>
      <w:r w:rsidRPr="00A37631">
        <w:rPr>
          <w:b/>
          <w:bCs/>
        </w:rPr>
        <w:t>representative probability</w:t>
      </w:r>
      <w:r w:rsidR="00AE47B6" w:rsidRPr="00A37631">
        <w:rPr>
          <w:b/>
          <w:bCs/>
        </w:rPr>
        <w:t>-</w:t>
      </w:r>
      <w:r w:rsidRPr="00A37631">
        <w:rPr>
          <w:b/>
          <w:bCs/>
        </w:rPr>
        <w:t>based sampling strategies should not be employed</w:t>
      </w:r>
      <w:r w:rsidRPr="00A37631">
        <w:t xml:space="preserve">. Until a reliable sample frame has been established, agencies targeting the aforementioned population groups can employ </w:t>
      </w:r>
      <w:r w:rsidRPr="00A37631">
        <w:rPr>
          <w:b/>
          <w:bCs/>
        </w:rPr>
        <w:t xml:space="preserve">non-probability based sample strategies </w:t>
      </w:r>
      <w:r w:rsidRPr="00A37631">
        <w:t xml:space="preserve">(see </w:t>
      </w:r>
      <w:r w:rsidR="0086735C" w:rsidRPr="00A37631">
        <w:t>table</w:t>
      </w:r>
      <w:r w:rsidRPr="00A37631">
        <w:t xml:space="preserve"> below). </w:t>
      </w:r>
    </w:p>
    <w:p w:rsidR="0086735C" w:rsidRPr="00A37631" w:rsidRDefault="0086735C" w:rsidP="00E60A6C">
      <w:pPr>
        <w:pStyle w:val="Heading3"/>
      </w:pPr>
    </w:p>
    <w:p w:rsidR="005E0F19" w:rsidRPr="00A37631" w:rsidRDefault="000B1561" w:rsidP="00E60A6C">
      <w:pPr>
        <w:pStyle w:val="Heading3"/>
        <w:rPr>
          <w:sz w:val="36"/>
          <w:szCs w:val="36"/>
        </w:rPr>
      </w:pPr>
      <w:r w:rsidRPr="00A37631">
        <w:br w:type="page"/>
      </w:r>
      <w:r w:rsidR="005E0F19" w:rsidRPr="00A37631">
        <w:lastRenderedPageBreak/>
        <w:t>Sampling Methodologies:</w:t>
      </w:r>
    </w:p>
    <w:p w:rsidR="005E0F19" w:rsidRPr="00A37631" w:rsidRDefault="005E0F19" w:rsidP="00E60A6C"/>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1809"/>
        <w:gridCol w:w="2694"/>
        <w:gridCol w:w="2356"/>
        <w:gridCol w:w="2384"/>
      </w:tblGrid>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keepNext/>
              <w:spacing w:before="0" w:after="0" w:line="240" w:lineRule="auto"/>
              <w:ind w:left="0" w:right="0"/>
              <w:jc w:val="left"/>
              <w:rPr>
                <w:b/>
                <w:bCs/>
                <w:color w:val="auto"/>
                <w:sz w:val="24"/>
                <w:szCs w:val="24"/>
              </w:rPr>
            </w:pPr>
            <w:r w:rsidRPr="00D10EE9">
              <w:rPr>
                <w:b/>
                <w:bCs/>
                <w:color w:val="auto"/>
                <w:sz w:val="24"/>
                <w:szCs w:val="24"/>
              </w:rPr>
              <w:t>Type of Sampling</w:t>
            </w:r>
          </w:p>
        </w:tc>
        <w:tc>
          <w:tcPr>
            <w:tcW w:w="2694"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 </w:t>
            </w:r>
          </w:p>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When to use it</w:t>
            </w:r>
          </w:p>
        </w:tc>
        <w:tc>
          <w:tcPr>
            <w:tcW w:w="2356"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 </w:t>
            </w:r>
          </w:p>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Advantages</w:t>
            </w:r>
          </w:p>
        </w:tc>
        <w:tc>
          <w:tcPr>
            <w:tcW w:w="2384"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 </w:t>
            </w:r>
          </w:p>
          <w:p w:rsidR="00D10EE9" w:rsidRPr="00D10EE9" w:rsidRDefault="00D10EE9" w:rsidP="00D10EE9">
            <w:pPr>
              <w:spacing w:before="0" w:after="0" w:line="240" w:lineRule="auto"/>
              <w:ind w:left="0" w:right="0"/>
              <w:jc w:val="left"/>
              <w:outlineLvl w:val="9"/>
              <w:rPr>
                <w:b/>
                <w:bCs/>
                <w:color w:val="auto"/>
                <w:kern w:val="0"/>
                <w:sz w:val="24"/>
                <w:szCs w:val="24"/>
              </w:rPr>
            </w:pPr>
            <w:r w:rsidRPr="00D10EE9">
              <w:rPr>
                <w:b/>
                <w:bCs/>
                <w:color w:val="auto"/>
                <w:kern w:val="0"/>
                <w:sz w:val="24"/>
                <w:szCs w:val="24"/>
              </w:rPr>
              <w:t>Disadvantages</w:t>
            </w:r>
          </w:p>
        </w:tc>
      </w:tr>
      <w:tr w:rsidR="00D10EE9" w:rsidRPr="00D10EE9" w:rsidTr="00D10EE9">
        <w:tc>
          <w:tcPr>
            <w:tcW w:w="1809"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i/>
                <w:iCs/>
                <w:color w:val="auto"/>
                <w:kern w:val="0"/>
                <w:sz w:val="22"/>
                <w:szCs w:val="22"/>
              </w:rPr>
            </w:pPr>
            <w:r w:rsidRPr="00D10EE9">
              <w:rPr>
                <w:i/>
                <w:iCs/>
                <w:color w:val="auto"/>
                <w:kern w:val="0"/>
                <w:sz w:val="22"/>
                <w:szCs w:val="22"/>
              </w:rPr>
              <w:t>Probability Strategies</w:t>
            </w:r>
          </w:p>
        </w:tc>
        <w:tc>
          <w:tcPr>
            <w:tcW w:w="2694"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2"/>
                <w:szCs w:val="22"/>
              </w:rPr>
            </w:pPr>
            <w:r w:rsidRPr="00D10EE9">
              <w:rPr>
                <w:color w:val="auto"/>
                <w:kern w:val="0"/>
                <w:sz w:val="22"/>
                <w:szCs w:val="22"/>
              </w:rPr>
              <w:t> </w:t>
            </w:r>
          </w:p>
        </w:tc>
        <w:tc>
          <w:tcPr>
            <w:tcW w:w="2356"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2"/>
                <w:szCs w:val="22"/>
              </w:rPr>
            </w:pPr>
            <w:r w:rsidRPr="00D10EE9">
              <w:rPr>
                <w:color w:val="auto"/>
                <w:kern w:val="0"/>
                <w:sz w:val="22"/>
                <w:szCs w:val="22"/>
              </w:rPr>
              <w:t> </w:t>
            </w:r>
          </w:p>
        </w:tc>
        <w:tc>
          <w:tcPr>
            <w:tcW w:w="2384"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2"/>
                <w:szCs w:val="22"/>
              </w:rPr>
            </w:pPr>
            <w:r w:rsidRPr="00D10EE9">
              <w:rPr>
                <w:color w:val="auto"/>
                <w:kern w:val="0"/>
                <w:sz w:val="22"/>
                <w:szCs w:val="22"/>
              </w:rPr>
              <w:t> </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Simple Random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the population members are similar to one another on important variables</w:t>
            </w:r>
          </w:p>
        </w:tc>
        <w:tc>
          <w:tcPr>
            <w:tcW w:w="2356"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Ensures a high degree of representativeness</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 Time consuming</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Systematic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the population members are similar to one another on important variables</w:t>
            </w:r>
          </w:p>
        </w:tc>
        <w:tc>
          <w:tcPr>
            <w:tcW w:w="2356"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Ensures a high degree of representativeness - and no need for random numbers (take every n</w:t>
            </w:r>
            <w:r w:rsidRPr="00D10EE9">
              <w:rPr>
                <w:color w:val="auto"/>
                <w:kern w:val="0"/>
                <w:sz w:val="20"/>
                <w:szCs w:val="20"/>
                <w:vertAlign w:val="superscript"/>
              </w:rPr>
              <w:t>th</w:t>
            </w:r>
            <w:r w:rsidRPr="00D10EE9">
              <w:rPr>
                <w:color w:val="auto"/>
                <w:kern w:val="0"/>
                <w:sz w:val="20"/>
                <w:szCs w:val="20"/>
              </w:rPr>
              <w:t xml:space="preserve"> person/HH)</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Less robust and predictive than simple random sampling</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Stratified Random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the population is heterogeneous and contains several different groups, some of which are related to the topic of the study. Examples include rural/urban, livelihood zones, geographic characteristics like altitude, areas of poverty, administrative units.</w:t>
            </w:r>
          </w:p>
        </w:tc>
        <w:tc>
          <w:tcPr>
            <w:tcW w:w="2356"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Ensures a high degree of representativeness of all the strata or layers in the population</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Time consuming. Results cannot be generalized to cover a whole population</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Cluster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To reduce costs.</w:t>
            </w:r>
          </w:p>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it is impossible to list all the elements of the target population.</w:t>
            </w:r>
          </w:p>
        </w:tc>
        <w:tc>
          <w:tcPr>
            <w:tcW w:w="2356"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 Easy and convenient</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If cluster members are too similar, cluster will not represent population, and findings will be inaccurate.</w:t>
            </w:r>
          </w:p>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Concentrating on clusters leaves out other groups of the population, which may have distinct characteristics, leading to inaccuracy.</w:t>
            </w:r>
          </w:p>
        </w:tc>
      </w:tr>
      <w:tr w:rsidR="00D10EE9" w:rsidRPr="00D10EE9" w:rsidTr="00D10EE9">
        <w:tc>
          <w:tcPr>
            <w:tcW w:w="1809"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i/>
                <w:iCs/>
                <w:kern w:val="0"/>
                <w:sz w:val="23"/>
                <w:szCs w:val="23"/>
              </w:rPr>
            </w:pPr>
            <w:r w:rsidRPr="00D10EE9">
              <w:rPr>
                <w:i/>
                <w:iCs/>
                <w:kern w:val="0"/>
                <w:sz w:val="23"/>
                <w:szCs w:val="23"/>
              </w:rPr>
              <w:t>Non-Probability Sampling</w:t>
            </w:r>
          </w:p>
        </w:tc>
        <w:tc>
          <w:tcPr>
            <w:tcW w:w="2694"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 </w:t>
            </w:r>
          </w:p>
        </w:tc>
        <w:tc>
          <w:tcPr>
            <w:tcW w:w="2356"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 </w:t>
            </w:r>
          </w:p>
        </w:tc>
        <w:tc>
          <w:tcPr>
            <w:tcW w:w="2384" w:type="dxa"/>
            <w:shd w:val="clear" w:color="auto" w:fill="D9D9D9"/>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 </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Convenience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time and resources are limited</w:t>
            </w:r>
            <w:r>
              <w:rPr>
                <w:color w:val="auto"/>
                <w:kern w:val="0"/>
                <w:sz w:val="20"/>
                <w:szCs w:val="20"/>
              </w:rPr>
              <w:t>.</w:t>
            </w:r>
          </w:p>
        </w:tc>
        <w:tc>
          <w:tcPr>
            <w:tcW w:w="2356"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Convenience and inexpensive</w:t>
            </w:r>
            <w:r>
              <w:rPr>
                <w:color w:val="auto"/>
                <w:kern w:val="0"/>
                <w:sz w:val="20"/>
                <w:szCs w:val="20"/>
              </w:rPr>
              <w:t>.</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Findings may not represent the population and may be challenged</w:t>
            </w:r>
          </w:p>
        </w:tc>
      </w:tr>
      <w:tr w:rsidR="00D10EE9" w:rsidRPr="00D10EE9" w:rsidTr="00D10EE9">
        <w:tc>
          <w:tcPr>
            <w:tcW w:w="1809" w:type="dxa"/>
            <w:shd w:val="clear" w:color="auto" w:fill="A6A6A6"/>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 </w:t>
            </w:r>
          </w:p>
          <w:p w:rsidR="00D10EE9" w:rsidRPr="00D10EE9" w:rsidRDefault="00D10EE9" w:rsidP="00D10EE9">
            <w:pPr>
              <w:spacing w:before="0" w:after="0" w:line="240" w:lineRule="auto"/>
              <w:ind w:left="0" w:right="0"/>
              <w:jc w:val="left"/>
              <w:outlineLvl w:val="9"/>
              <w:rPr>
                <w:kern w:val="0"/>
                <w:sz w:val="23"/>
                <w:szCs w:val="23"/>
              </w:rPr>
            </w:pPr>
            <w:r w:rsidRPr="00D10EE9">
              <w:rPr>
                <w:kern w:val="0"/>
                <w:sz w:val="23"/>
                <w:szCs w:val="23"/>
              </w:rPr>
              <w:t>Quota Sampling</w:t>
            </w:r>
          </w:p>
        </w:tc>
        <w:tc>
          <w:tcPr>
            <w:tcW w:w="269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When strata are present and stratified sampling is not</w:t>
            </w:r>
            <w:r>
              <w:rPr>
                <w:color w:val="auto"/>
                <w:kern w:val="0"/>
                <w:sz w:val="20"/>
                <w:szCs w:val="20"/>
              </w:rPr>
              <w:t xml:space="preserve"> possible.</w:t>
            </w:r>
          </w:p>
        </w:tc>
        <w:tc>
          <w:tcPr>
            <w:tcW w:w="2356" w:type="dxa"/>
            <w:tcMar>
              <w:top w:w="0" w:type="dxa"/>
              <w:left w:w="108" w:type="dxa"/>
              <w:bottom w:w="0" w:type="dxa"/>
              <w:right w:w="108" w:type="dxa"/>
            </w:tcMar>
            <w:hideMark/>
          </w:tcPr>
          <w:p w:rsidR="00D10EE9" w:rsidRPr="00D10EE9" w:rsidRDefault="00D10EE9" w:rsidP="0045250D">
            <w:pPr>
              <w:spacing w:before="0" w:after="0" w:line="240" w:lineRule="auto"/>
              <w:ind w:left="0" w:right="0"/>
              <w:jc w:val="left"/>
              <w:outlineLvl w:val="9"/>
              <w:rPr>
                <w:color w:val="auto"/>
                <w:kern w:val="0"/>
                <w:sz w:val="20"/>
                <w:szCs w:val="20"/>
              </w:rPr>
            </w:pPr>
            <w:r w:rsidRPr="00D10EE9">
              <w:rPr>
                <w:color w:val="auto"/>
                <w:kern w:val="0"/>
                <w:sz w:val="20"/>
                <w:szCs w:val="20"/>
              </w:rPr>
              <w:t>Insures some degree of representativeness of all the strata in the population</w:t>
            </w:r>
            <w:r>
              <w:rPr>
                <w:color w:val="auto"/>
                <w:kern w:val="0"/>
                <w:sz w:val="20"/>
                <w:szCs w:val="20"/>
              </w:rPr>
              <w:t>.</w:t>
            </w:r>
          </w:p>
        </w:tc>
        <w:tc>
          <w:tcPr>
            <w:tcW w:w="2384" w:type="dxa"/>
            <w:tcMar>
              <w:top w:w="0" w:type="dxa"/>
              <w:left w:w="108" w:type="dxa"/>
              <w:bottom w:w="0" w:type="dxa"/>
              <w:right w:w="108" w:type="dxa"/>
            </w:tcMar>
            <w:hideMark/>
          </w:tcPr>
          <w:p w:rsidR="00D10EE9" w:rsidRPr="00D10EE9" w:rsidRDefault="00D10EE9" w:rsidP="00D10EE9">
            <w:pPr>
              <w:spacing w:before="0" w:after="0" w:line="240" w:lineRule="auto"/>
              <w:ind w:left="0" w:right="0"/>
              <w:jc w:val="left"/>
              <w:outlineLvl w:val="9"/>
              <w:rPr>
                <w:color w:val="auto"/>
                <w:kern w:val="0"/>
                <w:sz w:val="20"/>
                <w:szCs w:val="20"/>
              </w:rPr>
            </w:pPr>
            <w:r w:rsidRPr="00D10EE9">
              <w:rPr>
                <w:color w:val="auto"/>
                <w:kern w:val="0"/>
                <w:sz w:val="20"/>
                <w:szCs w:val="20"/>
              </w:rPr>
              <w:t>Findings may not represent the population and may be challenged</w:t>
            </w:r>
            <w:r>
              <w:rPr>
                <w:color w:val="auto"/>
                <w:kern w:val="0"/>
                <w:sz w:val="20"/>
                <w:szCs w:val="20"/>
              </w:rPr>
              <w:t>.</w:t>
            </w:r>
          </w:p>
        </w:tc>
      </w:tr>
    </w:tbl>
    <w:p w:rsidR="005E0F19" w:rsidRPr="00A37631" w:rsidRDefault="005E0F19" w:rsidP="00E60A6C">
      <w:pPr>
        <w:pStyle w:val="Heading3"/>
        <w:rPr>
          <w:sz w:val="36"/>
          <w:szCs w:val="36"/>
        </w:rPr>
      </w:pPr>
      <w:r w:rsidRPr="00A37631">
        <w:lastRenderedPageBreak/>
        <w:t>Representative samples:</w:t>
      </w:r>
    </w:p>
    <w:p w:rsidR="005E0F19" w:rsidRPr="00A37631" w:rsidRDefault="005E0F19" w:rsidP="00E60A6C">
      <w:pPr>
        <w:rPr>
          <w:sz w:val="24"/>
          <w:szCs w:val="24"/>
        </w:rPr>
      </w:pPr>
      <w:r w:rsidRPr="00A37631">
        <w:t xml:space="preserve">To ensure a higher quality of assessment data, the AWG recommends that assessments </w:t>
      </w:r>
      <w:r w:rsidR="00420033" w:rsidRPr="00A37631">
        <w:t>using a random sample utilize</w:t>
      </w:r>
      <w:r w:rsidRPr="00A37631">
        <w:t xml:space="preserve"> one of the three following sample options depending on available resources </w:t>
      </w:r>
      <w:r w:rsidRPr="00A37631">
        <w:rPr>
          <w:b/>
          <w:bCs/>
        </w:rPr>
        <w:t>(with option 1 being the most resource intensive, and option 3 the least</w:t>
      </w:r>
      <w:r w:rsidRPr="00A37631">
        <w:t>):</w:t>
      </w:r>
    </w:p>
    <w:tbl>
      <w:tblPr>
        <w:tblW w:w="0" w:type="auto"/>
        <w:jc w:val="center"/>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CellMar>
          <w:top w:w="15" w:type="dxa"/>
          <w:left w:w="15" w:type="dxa"/>
          <w:bottom w:w="15" w:type="dxa"/>
          <w:right w:w="15" w:type="dxa"/>
        </w:tblCellMar>
        <w:tblLook w:val="04A0" w:firstRow="1" w:lastRow="0" w:firstColumn="1" w:lastColumn="0" w:noHBand="0" w:noVBand="1"/>
      </w:tblPr>
      <w:tblGrid>
        <w:gridCol w:w="3977"/>
        <w:gridCol w:w="1135"/>
        <w:gridCol w:w="1135"/>
        <w:gridCol w:w="1135"/>
      </w:tblGrid>
      <w:tr w:rsidR="0045250D" w:rsidRPr="0045250D" w:rsidTr="0045250D">
        <w:trPr>
          <w:jc w:val="center"/>
        </w:trPr>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p>
        </w:tc>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Option 1</w:t>
            </w:r>
          </w:p>
        </w:tc>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Option 2</w:t>
            </w:r>
          </w:p>
        </w:tc>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Option 3</w:t>
            </w:r>
          </w:p>
        </w:tc>
      </w:tr>
      <w:tr w:rsidR="0045250D" w:rsidRPr="0045250D" w:rsidTr="0045250D">
        <w:trPr>
          <w:jc w:val="center"/>
        </w:trPr>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Margin of error</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5%</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7.5%</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10%</w:t>
            </w:r>
          </w:p>
        </w:tc>
      </w:tr>
      <w:tr w:rsidR="0045250D" w:rsidRPr="0045250D" w:rsidTr="0045250D">
        <w:trPr>
          <w:jc w:val="center"/>
        </w:trPr>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Confidence level</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95%</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95%</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95%</w:t>
            </w:r>
          </w:p>
        </w:tc>
      </w:tr>
      <w:tr w:rsidR="0045250D" w:rsidRPr="0045250D" w:rsidTr="0045250D">
        <w:trPr>
          <w:jc w:val="center"/>
        </w:trPr>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Response distribution</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50%</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50%</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50%</w:t>
            </w:r>
          </w:p>
        </w:tc>
      </w:tr>
      <w:tr w:rsidR="0045250D" w:rsidRPr="0045250D" w:rsidTr="0045250D">
        <w:trPr>
          <w:jc w:val="center"/>
        </w:trPr>
        <w:tc>
          <w:tcPr>
            <w:tcW w:w="0" w:type="auto"/>
            <w:shd w:val="clear" w:color="auto" w:fill="A6A6A6"/>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b/>
                <w:bCs/>
                <w:kern w:val="0"/>
                <w:sz w:val="23"/>
                <w:szCs w:val="23"/>
              </w:rPr>
            </w:pPr>
            <w:r w:rsidRPr="0045250D">
              <w:rPr>
                <w:b/>
                <w:bCs/>
                <w:kern w:val="0"/>
                <w:sz w:val="23"/>
                <w:szCs w:val="23"/>
              </w:rPr>
              <w:t>Sample size for infinite population</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b/>
                <w:bCs/>
                <w:color w:val="auto"/>
                <w:kern w:val="0"/>
                <w:sz w:val="20"/>
                <w:szCs w:val="20"/>
              </w:rPr>
            </w:pPr>
            <w:r w:rsidRPr="0045250D">
              <w:rPr>
                <w:b/>
                <w:bCs/>
                <w:color w:val="auto"/>
                <w:kern w:val="0"/>
                <w:sz w:val="20"/>
                <w:szCs w:val="20"/>
              </w:rPr>
              <w:t>385</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b/>
                <w:bCs/>
                <w:color w:val="auto"/>
                <w:kern w:val="0"/>
                <w:sz w:val="20"/>
                <w:szCs w:val="20"/>
              </w:rPr>
            </w:pPr>
            <w:r w:rsidRPr="0045250D">
              <w:rPr>
                <w:b/>
                <w:bCs/>
                <w:color w:val="auto"/>
                <w:kern w:val="0"/>
                <w:sz w:val="20"/>
                <w:szCs w:val="20"/>
              </w:rPr>
              <w:t>171</w:t>
            </w:r>
          </w:p>
        </w:tc>
        <w:tc>
          <w:tcPr>
            <w:tcW w:w="0" w:type="auto"/>
            <w:tcMar>
              <w:top w:w="0" w:type="dxa"/>
              <w:left w:w="120" w:type="dxa"/>
              <w:bottom w:w="0" w:type="dxa"/>
              <w:right w:w="120" w:type="dxa"/>
            </w:tcMar>
            <w:hideMark/>
          </w:tcPr>
          <w:p w:rsidR="0045250D" w:rsidRPr="0045250D" w:rsidRDefault="0045250D" w:rsidP="0045250D">
            <w:pPr>
              <w:spacing w:before="0" w:after="0" w:line="240" w:lineRule="auto"/>
              <w:ind w:left="0" w:right="0"/>
              <w:jc w:val="left"/>
              <w:outlineLvl w:val="9"/>
              <w:rPr>
                <w:b/>
                <w:bCs/>
                <w:color w:val="auto"/>
                <w:kern w:val="0"/>
                <w:sz w:val="20"/>
                <w:szCs w:val="20"/>
              </w:rPr>
            </w:pPr>
            <w:r w:rsidRPr="0045250D">
              <w:rPr>
                <w:b/>
                <w:bCs/>
                <w:color w:val="auto"/>
                <w:kern w:val="0"/>
                <w:sz w:val="20"/>
                <w:szCs w:val="20"/>
              </w:rPr>
              <w:t>97</w:t>
            </w:r>
          </w:p>
        </w:tc>
      </w:tr>
    </w:tbl>
    <w:p w:rsidR="005E0F19" w:rsidRPr="00A37631" w:rsidRDefault="005E0F19" w:rsidP="00E60A6C"/>
    <w:p w:rsidR="005E0F19" w:rsidRPr="00A37631" w:rsidRDefault="005E0F19" w:rsidP="00E60A6C">
      <w:pPr>
        <w:rPr>
          <w:sz w:val="24"/>
          <w:szCs w:val="24"/>
        </w:rPr>
      </w:pPr>
      <w:r w:rsidRPr="00A37631">
        <w:t xml:space="preserve">Sample sizes for specific population numbers can be calculated on the following website: </w:t>
      </w:r>
      <w:hyperlink r:id="rId9" w:history="1">
        <w:r w:rsidRPr="00A37631">
          <w:rPr>
            <w:color w:val="0563C1"/>
            <w:u w:val="single"/>
          </w:rPr>
          <w:t>http://www.raosoft.com/samplesize.html</w:t>
        </w:r>
      </w:hyperlink>
      <w:r w:rsidRPr="00A37631">
        <w:t xml:space="preserve"> </w:t>
      </w:r>
    </w:p>
    <w:p w:rsidR="000B1561" w:rsidRPr="00A37631" w:rsidRDefault="000B1561" w:rsidP="00E60A6C">
      <w:pPr>
        <w:pStyle w:val="Heading2"/>
      </w:pPr>
    </w:p>
    <w:p w:rsidR="00144E5B" w:rsidRPr="00A37631" w:rsidRDefault="005E0F19" w:rsidP="00E60A6C">
      <w:pPr>
        <w:pStyle w:val="Heading2"/>
      </w:pPr>
      <w:r w:rsidRPr="00A37631">
        <w:t>Benefits and limitations of data collection methods</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324"/>
        <w:gridCol w:w="3723"/>
        <w:gridCol w:w="4070"/>
      </w:tblGrid>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b/>
                <w:bCs/>
                <w:color w:val="auto"/>
                <w:kern w:val="0"/>
                <w:sz w:val="24"/>
                <w:szCs w:val="24"/>
              </w:rPr>
            </w:pPr>
            <w:r w:rsidRPr="0045250D">
              <w:rPr>
                <w:b/>
                <w:bCs/>
                <w:color w:val="auto"/>
                <w:kern w:val="0"/>
                <w:sz w:val="24"/>
                <w:szCs w:val="24"/>
              </w:rPr>
              <w:t>Technique</w:t>
            </w:r>
          </w:p>
        </w:tc>
        <w:tc>
          <w:tcPr>
            <w:tcW w:w="2044" w:type="pct"/>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b/>
                <w:bCs/>
                <w:color w:val="auto"/>
                <w:kern w:val="0"/>
                <w:sz w:val="24"/>
                <w:szCs w:val="24"/>
              </w:rPr>
            </w:pPr>
            <w:r w:rsidRPr="0045250D">
              <w:rPr>
                <w:b/>
                <w:bCs/>
                <w:color w:val="auto"/>
                <w:kern w:val="0"/>
                <w:sz w:val="24"/>
                <w:szCs w:val="24"/>
              </w:rPr>
              <w:t>Advantages</w:t>
            </w:r>
          </w:p>
        </w:tc>
        <w:tc>
          <w:tcPr>
            <w:tcW w:w="2021" w:type="pct"/>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b/>
                <w:bCs/>
                <w:color w:val="auto"/>
                <w:kern w:val="0"/>
                <w:sz w:val="24"/>
                <w:szCs w:val="24"/>
              </w:rPr>
            </w:pPr>
            <w:r w:rsidRPr="0045250D">
              <w:rPr>
                <w:b/>
                <w:bCs/>
                <w:color w:val="auto"/>
                <w:kern w:val="0"/>
                <w:sz w:val="24"/>
                <w:szCs w:val="24"/>
              </w:rPr>
              <w:t>Disadvantages</w:t>
            </w:r>
          </w:p>
        </w:tc>
      </w:tr>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Using Available Information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Is inexpensive, because data is already there.</w:t>
            </w:r>
          </w:p>
        </w:tc>
        <w:tc>
          <w:tcPr>
            <w:tcW w:w="223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Data is not always easily accessible.</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Information may be imprecise or incomplete.</w:t>
            </w:r>
          </w:p>
        </w:tc>
      </w:tr>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Observation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Gives more detailed and context related information</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Permits collection of information on facts not mentioned in an interview</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Permits test of reliability of responses</w:t>
            </w:r>
          </w:p>
        </w:tc>
        <w:tc>
          <w:tcPr>
            <w:tcW w:w="223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Ethical issues concerning confidentiality or privacy may arise</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Observer bias may occur.</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The presence of the data collector can influence the situation observed.</w:t>
            </w:r>
          </w:p>
        </w:tc>
      </w:tr>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Key Informant Interviews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Is suitable for use with both literates and illiterate.</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Permits clarification of questions.</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Has higher response rate than written questionnaires.</w:t>
            </w:r>
          </w:p>
        </w:tc>
        <w:tc>
          <w:tcPr>
            <w:tcW w:w="223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The presence of the interviewer can influence responses.</w:t>
            </w:r>
          </w:p>
        </w:tc>
      </w:tr>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Focus Group Discussions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Ability to pose follow up questions, or ask questions that probe more deeply.</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Results can be easier to understand than complicated statistical data.</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Can get information from non-verbal responses. (facial expressions and body language)</w:t>
            </w:r>
          </w:p>
        </w:tc>
        <w:tc>
          <w:tcPr>
            <w:tcW w:w="223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May not be an accurate representation of larger population.</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Can be difficult to steer and control.</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Respondents can feel peer pressure.</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Requires skill for facilitator in question phrasing.</w:t>
            </w:r>
          </w:p>
        </w:tc>
      </w:tr>
      <w:tr w:rsidR="0045250D" w:rsidRPr="0045250D" w:rsidTr="0045250D">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A6A6A6"/>
            <w:vAlign w:val="center"/>
            <w:hideMark/>
          </w:tcPr>
          <w:p w:rsidR="0045250D" w:rsidRPr="0045250D" w:rsidRDefault="0045250D" w:rsidP="0045250D">
            <w:pPr>
              <w:spacing w:before="0" w:after="0" w:line="240" w:lineRule="auto"/>
              <w:ind w:left="0" w:right="0"/>
              <w:jc w:val="left"/>
              <w:outlineLvl w:val="9"/>
              <w:rPr>
                <w:kern w:val="0"/>
                <w:sz w:val="23"/>
                <w:szCs w:val="23"/>
              </w:rPr>
            </w:pPr>
            <w:r w:rsidRPr="0045250D">
              <w:rPr>
                <w:kern w:val="0"/>
                <w:sz w:val="23"/>
                <w:szCs w:val="23"/>
              </w:rPr>
              <w:t xml:space="preserve">Household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Is less expensive.</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Permits anonymity and may result in more honest responses.</w:t>
            </w:r>
          </w:p>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Eliminates bias</w:t>
            </w:r>
          </w:p>
        </w:tc>
        <w:tc>
          <w:tcPr>
            <w:tcW w:w="2234"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45250D" w:rsidRPr="0045250D" w:rsidRDefault="0045250D" w:rsidP="0045250D">
            <w:pPr>
              <w:spacing w:before="0" w:after="0" w:line="240" w:lineRule="auto"/>
              <w:ind w:left="90" w:right="0"/>
              <w:jc w:val="left"/>
              <w:outlineLvl w:val="9"/>
              <w:rPr>
                <w:color w:val="auto"/>
                <w:kern w:val="0"/>
                <w:sz w:val="20"/>
                <w:szCs w:val="20"/>
              </w:rPr>
            </w:pPr>
            <w:r w:rsidRPr="0045250D">
              <w:rPr>
                <w:color w:val="auto"/>
                <w:kern w:val="0"/>
                <w:sz w:val="20"/>
                <w:szCs w:val="20"/>
              </w:rPr>
              <w:t>Requires extra training for evaluating</w:t>
            </w:r>
          </w:p>
        </w:tc>
      </w:tr>
    </w:tbl>
    <w:p w:rsidR="0086735C" w:rsidRPr="0045250D" w:rsidRDefault="0086735C" w:rsidP="0045250D"/>
    <w:p w:rsidR="00EE4BBB" w:rsidRPr="00A37631" w:rsidRDefault="00EE4BBB" w:rsidP="00E60A6C">
      <w:pPr>
        <w:pStyle w:val="Heading2"/>
      </w:pPr>
      <w:r w:rsidRPr="00A37631">
        <w:t>Units of measurement</w:t>
      </w:r>
    </w:p>
    <w:p w:rsidR="00EE4BBB" w:rsidRPr="00A37631" w:rsidRDefault="00EE4BBB" w:rsidP="00E60A6C">
      <w:r w:rsidRPr="00A37631">
        <w:t xml:space="preserve">There are four principal units of measurement in humanitarian needs assessment –community, household, individual and institution – as shown in in the </w:t>
      </w:r>
      <w:r w:rsidR="00726B98" w:rsidRPr="00A37631">
        <w:t>diagram</w:t>
      </w:r>
      <w:r w:rsidRPr="00A37631">
        <w:t xml:space="preserve"> below.</w:t>
      </w:r>
    </w:p>
    <w:p w:rsidR="00EE4BBB" w:rsidRPr="00A37631" w:rsidRDefault="006040F2" w:rsidP="00E60A6C">
      <w:r w:rsidRPr="00A37631">
        <w:rPr>
          <w:noProof/>
        </w:rPr>
        <mc:AlternateContent>
          <mc:Choice Requires="wps">
            <w:drawing>
              <wp:anchor distT="0" distB="0" distL="114300" distR="114300" simplePos="0" relativeHeight="251656704" behindDoc="0" locked="0" layoutInCell="1" allowOverlap="1" wp14:anchorId="14F73C36" wp14:editId="6BCDA6FA">
                <wp:simplePos x="0" y="0"/>
                <wp:positionH relativeFrom="column">
                  <wp:posOffset>-38100</wp:posOffset>
                </wp:positionH>
                <wp:positionV relativeFrom="paragraph">
                  <wp:posOffset>122555</wp:posOffset>
                </wp:positionV>
                <wp:extent cx="5562600" cy="2981325"/>
                <wp:effectExtent l="9525" t="8255" r="9525" b="10795"/>
                <wp:wrapNone/>
                <wp:docPr id="1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298132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22E35" id="Rectangle 18" o:spid="_x0000_s1026" style="position:absolute;margin-left:-3pt;margin-top:9.65pt;width:438pt;height:23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" strokecolor="white"/>
            </w:pict>
          </mc:Fallback>
        </mc:AlternateContent>
      </w:r>
    </w:p>
    <w:p w:rsidR="00EE4BBB" w:rsidRPr="00A37631" w:rsidRDefault="006040F2" w:rsidP="00E60A6C">
      <w:pPr>
        <w:rPr>
          <w:sz w:val="24"/>
        </w:rPr>
      </w:pPr>
      <w:r w:rsidRPr="00A37631">
        <w:rPr>
          <w:noProof/>
        </w:rPr>
        <mc:AlternateContent>
          <mc:Choice Requires="wpg">
            <w:drawing>
              <wp:anchor distT="0" distB="0" distL="114300" distR="114300" simplePos="0" relativeHeight="251657728" behindDoc="0" locked="0" layoutInCell="1" allowOverlap="1" wp14:anchorId="4B8BA9F9" wp14:editId="480497B0">
                <wp:simplePos x="0" y="0"/>
                <wp:positionH relativeFrom="column">
                  <wp:posOffset>767715</wp:posOffset>
                </wp:positionH>
                <wp:positionV relativeFrom="paragraph">
                  <wp:posOffset>88900</wp:posOffset>
                </wp:positionV>
                <wp:extent cx="3669030" cy="2317115"/>
                <wp:effectExtent l="15240" t="22225" r="11430" b="13335"/>
                <wp:wrapNone/>
                <wp:docPr id="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9030" cy="2317115"/>
                          <a:chOff x="1821" y="9326"/>
                          <a:chExt cx="5778" cy="3649"/>
                        </a:xfrm>
                      </wpg:grpSpPr>
                      <wpg:grpSp>
                        <wpg:cNvPr id="7" name="Group 15"/>
                        <wpg:cNvGrpSpPr>
                          <a:grpSpLocks/>
                        </wpg:cNvGrpSpPr>
                        <wpg:grpSpPr bwMode="auto">
                          <a:xfrm>
                            <a:off x="1821" y="9326"/>
                            <a:ext cx="4449" cy="3649"/>
                            <a:chOff x="1821" y="9326"/>
                            <a:chExt cx="6756" cy="5124"/>
                          </a:xfrm>
                        </wpg:grpSpPr>
                        <wps:wsp>
                          <wps:cNvPr id="8" name="Isosceles Triangle 4"/>
                          <wps:cNvSpPr>
                            <a:spLocks noChangeArrowheads="1"/>
                          </wps:cNvSpPr>
                          <wps:spPr bwMode="auto">
                            <a:xfrm>
                              <a:off x="1821" y="9326"/>
                              <a:ext cx="6756" cy="5124"/>
                            </a:xfrm>
                            <a:prstGeom prst="triangle">
                              <a:avLst>
                                <a:gd name="adj" fmla="val 50000"/>
                              </a:avLst>
                            </a:prstGeom>
                            <a:solidFill>
                              <a:srgbClr val="C2D69B"/>
                            </a:solidFill>
                            <a:ln w="9525">
                              <a:solidFill>
                                <a:srgbClr val="BFBFBF"/>
                              </a:solidFill>
                              <a:miter lim="800000"/>
                              <a:headEnd/>
                              <a:tailEnd/>
                            </a:ln>
                          </wps:spPr>
                          <wps:bodyPr rot="0" vert="horz" wrap="square" lIns="91440" tIns="45720" rIns="91440" bIns="45720" anchor="t" anchorCtr="0" upright="1">
                            <a:noAutofit/>
                          </wps:bodyPr>
                        </wps:wsp>
                        <wpg:grpSp>
                          <wpg:cNvPr id="9" name="Group 12"/>
                          <wpg:cNvGrpSpPr>
                            <a:grpSpLocks/>
                          </wpg:cNvGrpSpPr>
                          <wpg:grpSpPr bwMode="auto">
                            <a:xfrm>
                              <a:off x="2901" y="9326"/>
                              <a:ext cx="4632" cy="3498"/>
                              <a:chOff x="2901" y="9326"/>
                              <a:chExt cx="4632" cy="3498"/>
                            </a:xfrm>
                          </wpg:grpSpPr>
                          <wps:wsp>
                            <wps:cNvPr id="10" name="Isosceles Triangle 12"/>
                            <wps:cNvSpPr>
                              <a:spLocks noChangeArrowheads="1"/>
                            </wps:cNvSpPr>
                            <wps:spPr bwMode="auto">
                              <a:xfrm>
                                <a:off x="2901" y="9326"/>
                                <a:ext cx="4632" cy="3498"/>
                              </a:xfrm>
                              <a:prstGeom prst="triangle">
                                <a:avLst>
                                  <a:gd name="adj" fmla="val 50000"/>
                                </a:avLst>
                              </a:prstGeom>
                              <a:solidFill>
                                <a:srgbClr val="8DB3E2"/>
                              </a:solidFill>
                              <a:ln w="9525">
                                <a:solidFill>
                                  <a:srgbClr val="BFBFBF"/>
                                </a:solidFill>
                                <a:miter lim="800000"/>
                                <a:headEnd/>
                                <a:tailEnd/>
                              </a:ln>
                            </wps:spPr>
                            <wps:bodyPr rot="0" vert="horz" wrap="square" lIns="91440" tIns="45720" rIns="91440" bIns="45720" anchor="t" anchorCtr="0" upright="1">
                              <a:noAutofit/>
                            </wps:bodyPr>
                          </wps:wsp>
                          <wps:wsp>
                            <wps:cNvPr id="11" name="Isosceles Triangle 8"/>
                            <wps:cNvSpPr>
                              <a:spLocks noChangeArrowheads="1"/>
                            </wps:cNvSpPr>
                            <wps:spPr bwMode="auto">
                              <a:xfrm>
                                <a:off x="3724" y="9326"/>
                                <a:ext cx="2969" cy="2226"/>
                              </a:xfrm>
                              <a:prstGeom prst="triangle">
                                <a:avLst>
                                  <a:gd name="adj" fmla="val 50000"/>
                                </a:avLst>
                              </a:prstGeom>
                              <a:solidFill>
                                <a:srgbClr val="E5DFEC"/>
                              </a:solidFill>
                              <a:ln w="9525">
                                <a:solidFill>
                                  <a:srgbClr val="BFBFBF"/>
                                </a:solidFill>
                                <a:miter lim="800000"/>
                                <a:headEnd/>
                                <a:tailEnd/>
                              </a:ln>
                            </wps:spPr>
                            <wps:bodyPr rot="0" vert="horz" wrap="square" lIns="91440" tIns="45720" rIns="91440" bIns="45720" anchor="t" anchorCtr="0" upright="1">
                              <a:noAutofit/>
                            </wps:bodyPr>
                          </wps:wsp>
                        </wpg:grpSp>
                      </wpg:grpSp>
                      <wps:wsp>
                        <wps:cNvPr id="12" name="Text Box 11"/>
                        <wps:cNvSpPr txBox="1">
                          <a:spLocks noChangeArrowheads="1"/>
                        </wps:cNvSpPr>
                        <wps:spPr bwMode="auto">
                          <a:xfrm>
                            <a:off x="5865" y="10419"/>
                            <a:ext cx="1734" cy="492"/>
                          </a:xfrm>
                          <a:prstGeom prst="rect">
                            <a:avLst/>
                          </a:prstGeom>
                          <a:solidFill>
                            <a:srgbClr val="E5B8B7"/>
                          </a:solidFill>
                          <a:ln w="9525">
                            <a:solidFill>
                              <a:srgbClr val="BFBFBF"/>
                            </a:solidFill>
                            <a:miter lim="800000"/>
                            <a:headEnd/>
                            <a:tailEnd/>
                          </a:ln>
                        </wps:spPr>
                        <wps:txbx>
                          <w:txbxContent>
                            <w:p w:rsidR="0045250D" w:rsidRPr="0045250D" w:rsidRDefault="0045250D" w:rsidP="0045250D">
                              <w:pPr>
                                <w:ind w:left="0" w:right="-139"/>
                                <w:rPr>
                                  <w:sz w:val="18"/>
                                  <w:szCs w:val="18"/>
                                </w:rPr>
                              </w:pPr>
                              <w:r w:rsidRPr="0045250D">
                                <w:rPr>
                                  <w:sz w:val="18"/>
                                  <w:szCs w:val="18"/>
                                </w:rPr>
                                <w:t>INSTITUTION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8BA9F9" id="Group 16" o:spid="_x0000_s1026" style="position:absolute;left:0;text-align:left;margin-left:60.45pt;margin-top:7pt;width:288.9pt;height:182.45pt;z-index:251657728" coordorigin="1821,9326" coordsize="5778,3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">
                <v:group id="Group 15" o:spid="_x0000_s1027" style="position:absolute;left:1821;top:9326;width:4449;height:3649" coordorigin="1821,9326" coordsize="6756,5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8" type="#_x0000_t5" style="position:absolute;left:1821;top:9326;width:6756;height:5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W8AA&#10;AADaAAAADwAAAGRycy9kb3ducmV2LnhtbERPPW/CMBDdK/EfrKvEVuwwkCrFoKgIwcBQQlV1POIj&#10;iYjPUWxC+Pf1gNTx6X0v16NtxUC9bxxrSGYKBHHpTMOVhu/T9u0dhA/IBlvHpOFBHtarycsSM+Pu&#10;fKShCJWIIewz1FCH0GVS+rImi37mOuLIXVxvMUTYV9L0eI/htpVzpRbSYsOxocaOPmsqr8XNatiP&#10;X6c0/z1c2uRHbRqFKQ27s9bT1zH/ABFoDP/ip3tvNMSt8Uq8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hCW8AAAADaAAAADwAAAAAAAAAAAAAAAACYAgAAZHJzL2Rvd25y&#10;ZXYueG1sUEsFBgAAAAAEAAQA9QAAAIUDAAAAAA==&#10;" fillcolor="#c2d69b" strokecolor="#bfbfbf"/>
                  <v:group id="Group 12" o:spid="_x0000_s1029" style="position:absolute;left:2901;top:9326;width:4632;height:3498" coordorigin="2901,9326" coordsize="4632,3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Isosceles Triangle 12" o:spid="_x0000_s1030" type="#_x0000_t5" style="position:absolute;left:2901;top:9326;width:4632;height:3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FBUMIA&#10;AADbAAAADwAAAGRycy9kb3ducmV2LnhtbESPQWvDMAyF74P9B6PCLmN11sMoWZ2yDgLrsVl/gIi1&#10;OCSWQ+ym3n59dRj0JvGe3vu022c/qoXm2Ac28LouQBG3wfbcGTh/1y9bUDEhWxwDk4FfirCvHh92&#10;WNpw5RMtTeqUhHAs0YBLaSq1jq0jj3EdJmLRfsLsMck6d9rOeJVwP+pNUbxpjz1Lg8OJPh21Q3Px&#10;BvJzvTn/NfXRH7psL8uQ3BatMU+r/PEOKlFOd/P/9ZcVfKGXX2Q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IUFQwgAAANsAAAAPAAAAAAAAAAAAAAAAAJgCAABkcnMvZG93&#10;bnJldi54bWxQSwUGAAAAAAQABAD1AAAAhwMAAAAA&#10;" fillcolor="#8db3e2" strokecolor="#bfbfbf"/>
                    <v:shape id="Isosceles Triangle 8" o:spid="_x0000_s1031" type="#_x0000_t5" style="position:absolute;left:3724;top:9326;width:2969;height:2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sDocIA&#10;AADbAAAADwAAAGRycy9kb3ducmV2LnhtbERP22oCMRB9F/oPYQq+aVbBWlajVEEUpMUb4uOwGXfX&#10;biZLEt3t3zcFoW9zONeZzltTiQc5X1pWMOgnIIgzq0vOFZyOq947CB+QNVaWScEPeZjPXjpTTLVt&#10;eE+PQ8hFDGGfooIihDqV0mcFGfR9WxNH7mqdwRChy6V22MRwU8lhkrxJgyXHhgJrWhaUfR/uRkG1&#10;WRyb5W183pl14772W1t+ji5KdV/bjwmIQG34Fz/dGx3nD+Dvl3iAn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KwOhwgAAANsAAAAPAAAAAAAAAAAAAAAAAJgCAABkcnMvZG93&#10;bnJldi54bWxQSwUGAAAAAAQABAD1AAAAhwMAAAAA&#10;" fillcolor="#e5dfec" strokecolor="#bfbfbf"/>
                  </v:group>
                </v:group>
                <v:shapetype id="_x0000_t202" coordsize="21600,21600" o:spt="202" path="m,l,21600r21600,l21600,xe">
                  <v:stroke joinstyle="miter"/>
                  <v:path gradientshapeok="t" o:connecttype="rect"/>
                </v:shapetype>
                <v:shape id="Text Box 11" o:spid="_x0000_s1032" type="#_x0000_t202" style="position:absolute;left:5865;top:10419;width:1734;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d8EcEA&#10;AADbAAAADwAAAGRycy9kb3ducmV2LnhtbERPTWvCQBC9F/oflhF6azbmUGrqKiJUhVKC0UtvQ3ZM&#10;otnZsLsm6b/vFgq9zeN9znI9mU4M5HxrWcE8SUEQV1a3XCs4n96fX0H4gKyxs0wKvsnDevX4sMRc&#10;25GPNJShFjGEfY4KmhD6XEpfNWTQJ7YnjtzFOoMhQldL7XCM4aaTWZq+SIMtx4YGe9o2VN3Ku1FQ&#10;7jh8OVzg9WMvLzfcys+iLpR6mk2bNxCBpvAv/nMfdJyfwe8v8QC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MnfBHBAAAA2wAAAA8AAAAAAAAAAAAAAAAAmAIAAGRycy9kb3du&#10;cmV2LnhtbFBLBQYAAAAABAAEAPUAAACGAwAAAAA=&#10;" fillcolor="#e5b8b7" strokecolor="#bfbfbf">
                  <v:textbox>
                    <w:txbxContent>
                      <w:p w:rsidR="0045250D" w:rsidRPr="0045250D" w:rsidRDefault="0045250D" w:rsidP="0045250D">
                        <w:pPr>
                          <w:ind w:left="0" w:right="-139"/>
                          <w:rPr>
                            <w:sz w:val="18"/>
                            <w:szCs w:val="18"/>
                          </w:rPr>
                        </w:pPr>
                        <w:r w:rsidRPr="0045250D">
                          <w:rPr>
                            <w:sz w:val="18"/>
                            <w:szCs w:val="18"/>
                          </w:rPr>
                          <w:t>INSTITUTION</w:t>
                        </w:r>
                      </w:p>
                    </w:txbxContent>
                  </v:textbox>
                </v:shape>
              </v:group>
            </w:pict>
          </mc:Fallback>
        </mc:AlternateContent>
      </w:r>
    </w:p>
    <w:p w:rsidR="00EE4BBB" w:rsidRPr="00A37631" w:rsidRDefault="00EE4BBB" w:rsidP="00E60A6C"/>
    <w:p w:rsidR="00EE4BBB" w:rsidRPr="00A37631" w:rsidRDefault="0045250D" w:rsidP="00E60A6C">
      <w:pPr>
        <w:rPr>
          <w:sz w:val="24"/>
        </w:rPr>
      </w:pPr>
      <w:r w:rsidRPr="00A37631">
        <w:rPr>
          <w:noProof/>
        </w:rPr>
        <mc:AlternateContent>
          <mc:Choice Requires="wpg">
            <w:drawing>
              <wp:anchor distT="0" distB="0" distL="114300" distR="114300" simplePos="0" relativeHeight="251658752" behindDoc="0" locked="0" layoutInCell="1" allowOverlap="1" wp14:anchorId="59A61835" wp14:editId="53FB84F7">
                <wp:simplePos x="0" y="0"/>
                <wp:positionH relativeFrom="column">
                  <wp:posOffset>1101725</wp:posOffset>
                </wp:positionH>
                <wp:positionV relativeFrom="paragraph">
                  <wp:posOffset>193675</wp:posOffset>
                </wp:positionV>
                <wp:extent cx="2120900" cy="1511300"/>
                <wp:effectExtent l="0" t="0" r="0" b="0"/>
                <wp:wrapNone/>
                <wp:docPr id="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0900" cy="1511300"/>
                          <a:chOff x="2389" y="10399"/>
                          <a:chExt cx="3340" cy="2380"/>
                        </a:xfrm>
                      </wpg:grpSpPr>
                      <wps:wsp>
                        <wps:cNvPr id="3" name="Text Box 2"/>
                        <wps:cNvSpPr txBox="1">
                          <a:spLocks noChangeArrowheads="1"/>
                        </wps:cNvSpPr>
                        <wps:spPr bwMode="auto">
                          <a:xfrm>
                            <a:off x="2389" y="12120"/>
                            <a:ext cx="3312"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0D" w:rsidRPr="0045250D" w:rsidRDefault="0045250D" w:rsidP="00E60A6C">
                              <w:pPr>
                                <w:rPr>
                                  <w:sz w:val="18"/>
                                  <w:szCs w:val="18"/>
                                </w:rPr>
                              </w:pPr>
                              <w:r>
                                <w:rPr>
                                  <w:sz w:val="18"/>
                                  <w:szCs w:val="18"/>
                                </w:rPr>
                                <w:t xml:space="preserve"> </w:t>
                              </w:r>
                              <w:r w:rsidRPr="0045250D">
                                <w:rPr>
                                  <w:sz w:val="18"/>
                                  <w:szCs w:val="18"/>
                                </w:rPr>
                                <w:t>INDIVIDUAL</w:t>
                              </w:r>
                            </w:p>
                          </w:txbxContent>
                        </wps:txbx>
                        <wps:bodyPr rot="0" vert="horz" wrap="square" lIns="91440" tIns="45720" rIns="91440" bIns="45720" anchor="t" anchorCtr="0" upright="1">
                          <a:spAutoFit/>
                        </wps:bodyPr>
                      </wps:wsp>
                      <wps:wsp>
                        <wps:cNvPr id="4" name="Text Box 7"/>
                        <wps:cNvSpPr txBox="1">
                          <a:spLocks noChangeArrowheads="1"/>
                        </wps:cNvSpPr>
                        <wps:spPr bwMode="auto">
                          <a:xfrm>
                            <a:off x="2410" y="10399"/>
                            <a:ext cx="3319"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0D" w:rsidRPr="0045250D" w:rsidRDefault="0045250D" w:rsidP="00E60A6C">
                              <w:pPr>
                                <w:rPr>
                                  <w:sz w:val="18"/>
                                  <w:szCs w:val="18"/>
                                </w:rPr>
                              </w:pPr>
                              <w:r w:rsidRPr="0045250D">
                                <w:rPr>
                                  <w:sz w:val="18"/>
                                  <w:szCs w:val="18"/>
                                </w:rPr>
                                <w:t>COMMUNITY</w:t>
                              </w:r>
                            </w:p>
                          </w:txbxContent>
                        </wps:txbx>
                        <wps:bodyPr rot="0" vert="horz" wrap="square" lIns="91440" tIns="45720" rIns="91440" bIns="45720" anchor="t" anchorCtr="0" upright="1">
                          <a:spAutoFit/>
                        </wps:bodyPr>
                      </wps:wsp>
                      <wps:wsp>
                        <wps:cNvPr id="5" name="Text Box 14"/>
                        <wps:cNvSpPr txBox="1">
                          <a:spLocks noChangeArrowheads="1"/>
                        </wps:cNvSpPr>
                        <wps:spPr bwMode="auto">
                          <a:xfrm>
                            <a:off x="2393" y="11168"/>
                            <a:ext cx="3312" cy="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50D" w:rsidRPr="0045250D" w:rsidRDefault="0045250D" w:rsidP="00E60A6C">
                              <w:pPr>
                                <w:rPr>
                                  <w:sz w:val="18"/>
                                  <w:szCs w:val="18"/>
                                </w:rPr>
                              </w:pPr>
                              <w:r w:rsidRPr="0045250D">
                                <w:rPr>
                                  <w:sz w:val="18"/>
                                  <w:szCs w:val="18"/>
                                </w:rPr>
                                <w:t>HOUSEHOLD</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59A61835" id="Group 17" o:spid="_x0000_s1033" style="position:absolute;left:0;text-align:left;margin-left:86.75pt;margin-top:15.25pt;width:167pt;height:119pt;z-index:251658752" coordorigin="2389,10399" coordsize="3340,2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">
                <v:shape id="Text Box 2" o:spid="_x0000_s1034" type="#_x0000_t202" style="position:absolute;left:2389;top:12120;width:3312;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WYMEA&#10;AADaAAAADwAAAGRycy9kb3ducmV2LnhtbESPT2vCQBTE7wW/w/IEb3Vjp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iFmDBAAAA2gAAAA8AAAAAAAAAAAAAAAAAmAIAAGRycy9kb3du&#10;cmV2LnhtbFBLBQYAAAAABAAEAPUAAACGAwAAAAA=&#10;" filled="f" stroked="f">
                  <v:textbox style="mso-fit-shape-to-text:t">
                    <w:txbxContent>
                      <w:p w:rsidR="0045250D" w:rsidRPr="0045250D" w:rsidRDefault="0045250D" w:rsidP="00E60A6C">
                        <w:pPr>
                          <w:rPr>
                            <w:sz w:val="18"/>
                            <w:szCs w:val="18"/>
                          </w:rPr>
                        </w:pPr>
                        <w:r>
                          <w:rPr>
                            <w:sz w:val="18"/>
                            <w:szCs w:val="18"/>
                          </w:rPr>
                          <w:t xml:space="preserve"> </w:t>
                        </w:r>
                        <w:r w:rsidRPr="0045250D">
                          <w:rPr>
                            <w:sz w:val="18"/>
                            <w:szCs w:val="18"/>
                          </w:rPr>
                          <w:t>INDIVIDUAL</w:t>
                        </w:r>
                      </w:p>
                    </w:txbxContent>
                  </v:textbox>
                </v:shape>
                <v:shape id="Text Box 7" o:spid="_x0000_s1035" type="#_x0000_t202" style="position:absolute;left:2410;top:10399;width:3319;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uOFMEA&#10;AADaAAAADwAAAGRycy9kb3ducmV2LnhtbESPT2vCQBTE7wW/w/IEb3VjsaVEVxH/gIdeauP9kX1m&#10;g9m3Iftq4rd3hUKPw8z8hlmuB9+oG3WxDmxgNs1AEZfB1lwZKH4Or5+goiBbbAKTgTtFWK9GL0vM&#10;bej5m24nqVSCcMzRgBNpc61j6chjnIaWOHmX0HmUJLtK2w77BPeNfsuyD+2x5rTgsKWto/J6+vUG&#10;ROxmdi/2Ph7Pw9eud1n5joUxk/GwWYASGuQ//Nc+WgNz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LjhTBAAAA2gAAAA8AAAAAAAAAAAAAAAAAmAIAAGRycy9kb3du&#10;cmV2LnhtbFBLBQYAAAAABAAEAPUAAACGAwAAAAA=&#10;" filled="f" stroked="f">
                  <v:textbox style="mso-fit-shape-to-text:t">
                    <w:txbxContent>
                      <w:p w:rsidR="0045250D" w:rsidRPr="0045250D" w:rsidRDefault="0045250D" w:rsidP="00E60A6C">
                        <w:pPr>
                          <w:rPr>
                            <w:sz w:val="18"/>
                            <w:szCs w:val="18"/>
                          </w:rPr>
                        </w:pPr>
                        <w:r w:rsidRPr="0045250D">
                          <w:rPr>
                            <w:sz w:val="18"/>
                            <w:szCs w:val="18"/>
                          </w:rPr>
                          <w:t>COMMUNITY</w:t>
                        </w:r>
                      </w:p>
                    </w:txbxContent>
                  </v:textbox>
                </v:shape>
                <v:shape id="Text Box 14" o:spid="_x0000_s1036" type="#_x0000_t202" style="position:absolute;left:2393;top:11168;width:3312;height: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textbox style="mso-fit-shape-to-text:t">
                    <w:txbxContent>
                      <w:p w:rsidR="0045250D" w:rsidRPr="0045250D" w:rsidRDefault="0045250D" w:rsidP="00E60A6C">
                        <w:pPr>
                          <w:rPr>
                            <w:sz w:val="18"/>
                            <w:szCs w:val="18"/>
                          </w:rPr>
                        </w:pPr>
                        <w:r w:rsidRPr="0045250D">
                          <w:rPr>
                            <w:sz w:val="18"/>
                            <w:szCs w:val="18"/>
                          </w:rPr>
                          <w:t>HOUSEHOLD</w:t>
                        </w:r>
                      </w:p>
                    </w:txbxContent>
                  </v:textbox>
                </v:shape>
              </v:group>
            </w:pict>
          </mc:Fallback>
        </mc:AlternateContent>
      </w:r>
      <w:r w:rsidR="00EE4BBB" w:rsidRPr="00A37631">
        <w:tab/>
      </w:r>
    </w:p>
    <w:p w:rsidR="00EE4BBB" w:rsidRPr="00A37631" w:rsidRDefault="00EE4BBB" w:rsidP="00E60A6C">
      <w:pPr>
        <w:rPr>
          <w:sz w:val="24"/>
        </w:rPr>
      </w:pPr>
    </w:p>
    <w:p w:rsidR="00EE4BBB" w:rsidRPr="00A37631" w:rsidRDefault="00EE4BBB" w:rsidP="00E60A6C"/>
    <w:p w:rsidR="000B1561" w:rsidRPr="00A37631" w:rsidRDefault="00384B20" w:rsidP="00E60A6C">
      <w:r w:rsidRPr="00A37631">
        <w:rPr>
          <w:highlight w:val="yellow"/>
        </w:rPr>
        <w:t xml:space="preserve"> </w:t>
      </w:r>
    </w:p>
    <w:p w:rsidR="000B1561" w:rsidRPr="00A37631" w:rsidRDefault="000B1561" w:rsidP="00E60A6C"/>
    <w:p w:rsidR="000B1561" w:rsidRPr="00A37631" w:rsidRDefault="000B1561" w:rsidP="00E60A6C"/>
    <w:p w:rsidR="000B1561" w:rsidRPr="00A37631" w:rsidRDefault="000B1561" w:rsidP="00E60A6C"/>
    <w:p w:rsidR="000B1561" w:rsidRPr="00A37631" w:rsidRDefault="000B1561" w:rsidP="00E60A6C"/>
    <w:p w:rsidR="000B1561" w:rsidRPr="00A37631" w:rsidRDefault="000B1561" w:rsidP="00E60A6C"/>
    <w:p w:rsidR="000B1561" w:rsidRPr="00A37631" w:rsidRDefault="000B1561" w:rsidP="00E60A6C"/>
    <w:p w:rsidR="000B1561" w:rsidRPr="00A37631" w:rsidRDefault="000B1561" w:rsidP="00E60A6C"/>
    <w:p w:rsidR="00EE4BBB" w:rsidRPr="00A37631" w:rsidRDefault="00EE4BBB" w:rsidP="00E60A6C">
      <w:r w:rsidRPr="00A37631">
        <w:rPr>
          <w:b/>
        </w:rPr>
        <w:t>Community</w:t>
      </w:r>
      <w:r w:rsidRPr="00A37631">
        <w:t xml:space="preserve"> assessments take place at the village or camp level. The aim here is to evaluate the availability and quality of community-shared resources, the existence of community-level threats and the coping mechanisms within a community. </w:t>
      </w:r>
    </w:p>
    <w:p w:rsidR="00EE4BBB" w:rsidRPr="00A37631" w:rsidRDefault="00EE4BBB" w:rsidP="00E60A6C">
      <w:r w:rsidRPr="00A37631">
        <w:rPr>
          <w:b/>
        </w:rPr>
        <w:t>Institution</w:t>
      </w:r>
      <w:r w:rsidRPr="00A37631">
        <w:t xml:space="preserve"> assessments assess buildings and services, such as schools and hospitals. In some situations, there may be more than one such institution for a particular community, such as a large camp with many schools. In other situations, there may be multiple communities using the same institution, such as a number of villages using the same health clinic. </w:t>
      </w:r>
    </w:p>
    <w:p w:rsidR="00EE4BBB" w:rsidRPr="00A37631" w:rsidRDefault="00EE4BBB" w:rsidP="00E60A6C">
      <w:r w:rsidRPr="00A37631">
        <w:rPr>
          <w:b/>
        </w:rPr>
        <w:t>Household</w:t>
      </w:r>
      <w:r w:rsidRPr="00A37631">
        <w:t xml:space="preserve"> assessments are carried out on the basis of one household pooling resources for all household members, such as sharing food supplies, a stove and shelter.</w:t>
      </w:r>
    </w:p>
    <w:p w:rsidR="00EE4BBB" w:rsidRPr="00A37631" w:rsidRDefault="00EE4BBB" w:rsidP="00E60A6C">
      <w:r w:rsidRPr="00A37631">
        <w:rPr>
          <w:b/>
        </w:rPr>
        <w:t>Individual</w:t>
      </w:r>
      <w:r w:rsidRPr="00A37631">
        <w:t xml:space="preserve"> assessments evaluate the needs of a particular individual. Such an assessment could disaggregate, for instance, instances when the needs of </w:t>
      </w:r>
      <w:r w:rsidRPr="00A37631">
        <w:lastRenderedPageBreak/>
        <w:t>some individuals in a household differ from those of others within the same household.</w:t>
      </w:r>
    </w:p>
    <w:p w:rsidR="00EE4BBB" w:rsidRPr="00A37631" w:rsidRDefault="00EE4BBB" w:rsidP="00E60A6C">
      <w:r w:rsidRPr="00A37631">
        <w:t>The unit of measurement used in a needs assessment directly affects the types of data that can be gathered. For instance, here are some examples of how health-themed questions on a data-collection form could differ depending on the unit of measurement used:</w:t>
      </w:r>
    </w:p>
    <w:p w:rsidR="00EE4BBB" w:rsidRPr="0045250D" w:rsidRDefault="00EE4BBB" w:rsidP="0045250D">
      <w:pPr>
        <w:pStyle w:val="ListParagraph"/>
      </w:pPr>
      <w:r w:rsidRPr="0045250D">
        <w:t>Community level: Is there a functioning health clinic in this village?</w:t>
      </w:r>
    </w:p>
    <w:p w:rsidR="00EE4BBB" w:rsidRPr="0045250D" w:rsidRDefault="00EE4BBB" w:rsidP="0045250D">
      <w:pPr>
        <w:pStyle w:val="ListParagraph"/>
      </w:pPr>
      <w:r w:rsidRPr="0045250D">
        <w:t>Institution level: How many doctors work at this health clinic?</w:t>
      </w:r>
    </w:p>
    <w:p w:rsidR="00EE4BBB" w:rsidRPr="0045250D" w:rsidRDefault="00EE4BBB" w:rsidP="0045250D">
      <w:pPr>
        <w:pStyle w:val="ListParagraph"/>
      </w:pPr>
      <w:r w:rsidRPr="0045250D">
        <w:t>Household level: Can your family afford to buy medicines?</w:t>
      </w:r>
    </w:p>
    <w:p w:rsidR="00EE4BBB" w:rsidRPr="0045250D" w:rsidRDefault="00EE4BBB" w:rsidP="0045250D">
      <w:pPr>
        <w:pStyle w:val="ListParagraph"/>
      </w:pPr>
      <w:r w:rsidRPr="0045250D">
        <w:t>Individual level: What vaccines have you had?</w:t>
      </w:r>
    </w:p>
    <w:p w:rsidR="00CD413A" w:rsidRDefault="00EE4BBB" w:rsidP="0045250D">
      <w:r w:rsidRPr="00A37631">
        <w:t xml:space="preserve">Different units of measurement should NOT be combined on </w:t>
      </w:r>
      <w:r w:rsidR="0045250D">
        <w:t>a single data-collection form.</w:t>
      </w:r>
    </w:p>
    <w:p w:rsidR="005E0F19" w:rsidRPr="0045250D" w:rsidRDefault="005E0F19" w:rsidP="00CD413A">
      <w:pPr>
        <w:pStyle w:val="Heading2"/>
      </w:pPr>
      <w:r w:rsidRPr="00A37631">
        <w:t>Data collection tool design</w:t>
      </w:r>
    </w:p>
    <w:p w:rsidR="005E0F19" w:rsidRDefault="005E0F19" w:rsidP="00E60A6C">
      <w:r w:rsidRPr="00A37631">
        <w:t xml:space="preserve">As a minimum, agencies implementing assessments should </w:t>
      </w:r>
      <w:r w:rsidR="000C26A3" w:rsidRPr="00A37631">
        <w:t>utilize</w:t>
      </w:r>
      <w:r w:rsidRPr="00A37631">
        <w:t>, where possible, the multi-sector or sector specific (where available)</w:t>
      </w:r>
      <w:r w:rsidRPr="00A37631">
        <w:rPr>
          <w:b/>
          <w:bCs/>
        </w:rPr>
        <w:t xml:space="preserve"> assessment tools that have already been endorsed by the sector working groups</w:t>
      </w:r>
      <w:r w:rsidRPr="00A37631">
        <w:t>. Additional questions required by the agency / sector for programmatic or strategic reasons can be added to the pre-endorsed assessment tools. ODK versions of the pre-endorsed assessment tools are available</w:t>
      </w:r>
      <w:r w:rsidR="000C26A3" w:rsidRPr="00A37631">
        <w:t xml:space="preserve"> </w:t>
      </w:r>
      <w:r w:rsidRPr="00A37631">
        <w:t xml:space="preserve">from the AWG. </w:t>
      </w:r>
    </w:p>
    <w:p w:rsidR="00CD413A" w:rsidRPr="00A37631" w:rsidRDefault="00CD413A" w:rsidP="00E60A6C">
      <w:r>
        <w:t>Questions are available for reuse from the following questionnaires.</w:t>
      </w:r>
    </w:p>
    <w:p w:rsidR="00B357CA" w:rsidRPr="00A37631" w:rsidRDefault="00B357CA" w:rsidP="00E60A6C"/>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CellMar>
          <w:top w:w="15" w:type="dxa"/>
          <w:left w:w="15" w:type="dxa"/>
          <w:bottom w:w="15" w:type="dxa"/>
          <w:right w:w="15" w:type="dxa"/>
        </w:tblCellMar>
        <w:tblLook w:val="04A0" w:firstRow="1" w:lastRow="0" w:firstColumn="1" w:lastColumn="0" w:noHBand="0" w:noVBand="1"/>
      </w:tblPr>
      <w:tblGrid>
        <w:gridCol w:w="3450"/>
        <w:gridCol w:w="3476"/>
      </w:tblGrid>
      <w:tr w:rsidR="005E0F19" w:rsidRPr="0045250D" w:rsidTr="0045250D">
        <w:trPr>
          <w:jc w:val="center"/>
        </w:trPr>
        <w:tc>
          <w:tcPr>
            <w:tcW w:w="0" w:type="auto"/>
            <w:shd w:val="clear" w:color="auto" w:fill="A6A6A6" w:themeFill="background1" w:themeFillShade="A6"/>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b/>
                <w:bCs/>
                <w:color w:val="auto"/>
                <w:kern w:val="0"/>
                <w:sz w:val="24"/>
                <w:szCs w:val="24"/>
              </w:rPr>
            </w:pPr>
            <w:r w:rsidRPr="0045250D">
              <w:rPr>
                <w:b/>
                <w:bCs/>
                <w:color w:val="auto"/>
                <w:kern w:val="0"/>
                <w:sz w:val="24"/>
                <w:szCs w:val="24"/>
              </w:rPr>
              <w:t>Household Assessment</w:t>
            </w:r>
          </w:p>
        </w:tc>
        <w:tc>
          <w:tcPr>
            <w:tcW w:w="0" w:type="auto"/>
            <w:shd w:val="clear" w:color="auto" w:fill="A6A6A6" w:themeFill="background1" w:themeFillShade="A6"/>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b/>
                <w:bCs/>
                <w:color w:val="auto"/>
                <w:kern w:val="0"/>
                <w:sz w:val="24"/>
                <w:szCs w:val="24"/>
              </w:rPr>
            </w:pPr>
            <w:r w:rsidRPr="0045250D">
              <w:rPr>
                <w:b/>
                <w:bCs/>
                <w:color w:val="auto"/>
                <w:kern w:val="0"/>
                <w:sz w:val="24"/>
                <w:szCs w:val="24"/>
              </w:rPr>
              <w:t>Key Informant Assessment</w:t>
            </w:r>
          </w:p>
        </w:tc>
      </w:tr>
      <w:tr w:rsidR="005E0F19" w:rsidRPr="00A37631" w:rsidTr="0097748F">
        <w:trPr>
          <w:jc w:val="center"/>
        </w:trPr>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r w:rsidRPr="0045250D">
              <w:rPr>
                <w:color w:val="auto"/>
                <w:kern w:val="0"/>
                <w:sz w:val="20"/>
                <w:szCs w:val="20"/>
              </w:rPr>
              <w:t>VASyR (multi-sector)</w:t>
            </w:r>
          </w:p>
        </w:tc>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r w:rsidRPr="0045250D">
              <w:rPr>
                <w:color w:val="auto"/>
                <w:kern w:val="0"/>
                <w:sz w:val="20"/>
                <w:szCs w:val="20"/>
              </w:rPr>
              <w:t>Multi Sector Community Assessment</w:t>
            </w:r>
          </w:p>
        </w:tc>
      </w:tr>
      <w:tr w:rsidR="005E0F19" w:rsidRPr="00A37631" w:rsidTr="0097748F">
        <w:trPr>
          <w:jc w:val="center"/>
        </w:trPr>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r w:rsidRPr="0045250D">
              <w:rPr>
                <w:color w:val="auto"/>
                <w:kern w:val="0"/>
                <w:sz w:val="20"/>
                <w:szCs w:val="20"/>
              </w:rPr>
              <w:t>WASH working group in depth</w:t>
            </w:r>
          </w:p>
        </w:tc>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p>
        </w:tc>
      </w:tr>
      <w:tr w:rsidR="005E0F19" w:rsidRPr="00A37631" w:rsidTr="0097748F">
        <w:trPr>
          <w:jc w:val="center"/>
        </w:trPr>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r w:rsidRPr="0045250D">
              <w:rPr>
                <w:color w:val="auto"/>
                <w:kern w:val="0"/>
                <w:sz w:val="20"/>
                <w:szCs w:val="20"/>
              </w:rPr>
              <w:t>Shelter working group phone survey</w:t>
            </w:r>
          </w:p>
        </w:tc>
        <w:tc>
          <w:tcPr>
            <w:tcW w:w="0" w:type="auto"/>
            <w:tcMar>
              <w:top w:w="0" w:type="dxa"/>
              <w:left w:w="120" w:type="dxa"/>
              <w:bottom w:w="0" w:type="dxa"/>
              <w:right w:w="120" w:type="dxa"/>
            </w:tcMar>
            <w:hideMark/>
          </w:tcPr>
          <w:p w:rsidR="005E0F19" w:rsidRPr="0045250D" w:rsidRDefault="005E0F19" w:rsidP="0045250D">
            <w:pPr>
              <w:spacing w:before="0" w:after="0" w:line="240" w:lineRule="auto"/>
              <w:ind w:left="0" w:right="0"/>
              <w:jc w:val="left"/>
              <w:outlineLvl w:val="9"/>
              <w:rPr>
                <w:color w:val="auto"/>
                <w:kern w:val="0"/>
                <w:sz w:val="20"/>
                <w:szCs w:val="20"/>
              </w:rPr>
            </w:pPr>
          </w:p>
        </w:tc>
      </w:tr>
      <w:tr w:rsidR="0045250D" w:rsidRPr="00A37631" w:rsidTr="0097748F">
        <w:trPr>
          <w:jc w:val="center"/>
        </w:trPr>
        <w:tc>
          <w:tcPr>
            <w:tcW w:w="0" w:type="auto"/>
            <w:tcMar>
              <w:top w:w="0" w:type="dxa"/>
              <w:left w:w="120" w:type="dxa"/>
              <w:bottom w:w="0" w:type="dxa"/>
              <w:right w:w="120" w:type="dxa"/>
            </w:tcMar>
          </w:tcPr>
          <w:p w:rsidR="0045250D" w:rsidRPr="0045250D" w:rsidRDefault="0045250D" w:rsidP="0045250D">
            <w:pPr>
              <w:spacing w:before="0" w:after="0" w:line="240" w:lineRule="auto"/>
              <w:ind w:left="0" w:right="0"/>
              <w:jc w:val="left"/>
              <w:outlineLvl w:val="9"/>
              <w:rPr>
                <w:color w:val="auto"/>
                <w:kern w:val="0"/>
                <w:sz w:val="20"/>
                <w:szCs w:val="20"/>
              </w:rPr>
            </w:pPr>
            <w:r w:rsidRPr="0045250D">
              <w:rPr>
                <w:color w:val="auto"/>
                <w:kern w:val="0"/>
                <w:sz w:val="20"/>
                <w:szCs w:val="20"/>
              </w:rPr>
              <w:t>Economic Vulnerability Survey</w:t>
            </w:r>
          </w:p>
        </w:tc>
        <w:tc>
          <w:tcPr>
            <w:tcW w:w="0" w:type="auto"/>
            <w:tcMar>
              <w:top w:w="0" w:type="dxa"/>
              <w:left w:w="120" w:type="dxa"/>
              <w:bottom w:w="0" w:type="dxa"/>
              <w:right w:w="120" w:type="dxa"/>
            </w:tcMar>
          </w:tcPr>
          <w:p w:rsidR="0045250D" w:rsidRPr="0045250D" w:rsidRDefault="0045250D" w:rsidP="0045250D">
            <w:pPr>
              <w:spacing w:before="0" w:after="0" w:line="240" w:lineRule="auto"/>
              <w:ind w:left="0" w:right="0"/>
              <w:jc w:val="left"/>
              <w:outlineLvl w:val="9"/>
              <w:rPr>
                <w:color w:val="auto"/>
                <w:kern w:val="0"/>
                <w:sz w:val="20"/>
                <w:szCs w:val="20"/>
              </w:rPr>
            </w:pPr>
          </w:p>
        </w:tc>
      </w:tr>
    </w:tbl>
    <w:p w:rsidR="00632324" w:rsidRPr="00A37631" w:rsidRDefault="00632324" w:rsidP="00E60A6C">
      <w:bookmarkStart w:id="0" w:name="_GoBack"/>
      <w:bookmarkEnd w:id="0"/>
    </w:p>
    <w:sectPr w:rsidR="00632324" w:rsidRPr="00A37631" w:rsidSect="00CD413A">
      <w:footerReference w:type="default" r:id="rId10"/>
      <w:headerReference w:type="first" r:id="rId11"/>
      <w:footerReference w:type="first" r:id="rId12"/>
      <w:pgSz w:w="11907" w:h="16839"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50D" w:rsidRDefault="0045250D" w:rsidP="00E60A6C">
      <w:r>
        <w:separator/>
      </w:r>
    </w:p>
  </w:endnote>
  <w:endnote w:type="continuationSeparator" w:id="0">
    <w:p w:rsidR="0045250D" w:rsidRDefault="0045250D" w:rsidP="00E60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4237420"/>
      <w:docPartObj>
        <w:docPartGallery w:val="Page Numbers (Bottom of Page)"/>
        <w:docPartUnique/>
      </w:docPartObj>
    </w:sdtPr>
    <w:sdtEndPr/>
    <w:sdtContent>
      <w:sdt>
        <w:sdtPr>
          <w:id w:val="199446153"/>
          <w:docPartObj>
            <w:docPartGallery w:val="Page Numbers (Top of Page)"/>
            <w:docPartUnique/>
          </w:docPartObj>
        </w:sdtPr>
        <w:sdtEndPr/>
        <w:sdtContent>
          <w:p w:rsidR="00CD413A" w:rsidRDefault="00CD413A">
            <w:pPr>
              <w:pStyle w:val="Footer"/>
            </w:pPr>
            <w:r>
              <w:t xml:space="preserve">Page </w:t>
            </w:r>
            <w:r>
              <w:rPr>
                <w:b/>
                <w:bCs/>
                <w:sz w:val="24"/>
              </w:rPr>
              <w:fldChar w:fldCharType="begin"/>
            </w:r>
            <w:r>
              <w:rPr>
                <w:b/>
                <w:bCs/>
              </w:rPr>
              <w:instrText xml:space="preserve"> PAGE </w:instrText>
            </w:r>
            <w:r>
              <w:rPr>
                <w:b/>
                <w:bCs/>
                <w:sz w:val="24"/>
              </w:rPr>
              <w:fldChar w:fldCharType="separate"/>
            </w:r>
            <w:r w:rsidR="00B26937">
              <w:rPr>
                <w:b/>
                <w:bCs/>
                <w:noProof/>
              </w:rPr>
              <w:t>8</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sidR="00B26937">
              <w:rPr>
                <w:b/>
                <w:bCs/>
                <w:noProof/>
              </w:rPr>
              <w:t>8</w:t>
            </w:r>
            <w:r>
              <w:rPr>
                <w:b/>
                <w:bCs/>
                <w:sz w:val="24"/>
              </w:rPr>
              <w:fldChar w:fldCharType="end"/>
            </w:r>
          </w:p>
        </w:sdtContent>
      </w:sdt>
    </w:sdtContent>
  </w:sdt>
  <w:p w:rsidR="0045250D" w:rsidRDefault="0045250D" w:rsidP="00E60A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6226289"/>
      <w:docPartObj>
        <w:docPartGallery w:val="Page Numbers (Bottom of Page)"/>
        <w:docPartUnique/>
      </w:docPartObj>
    </w:sdtPr>
    <w:sdtEndPr/>
    <w:sdtContent>
      <w:sdt>
        <w:sdtPr>
          <w:id w:val="98381352"/>
          <w:docPartObj>
            <w:docPartGallery w:val="Page Numbers (Top of Page)"/>
            <w:docPartUnique/>
          </w:docPartObj>
        </w:sdtPr>
        <w:sdtEndPr/>
        <w:sdtContent>
          <w:p w:rsidR="00CD413A" w:rsidRDefault="00CD413A">
            <w:pPr>
              <w:pStyle w:val="Footer"/>
            </w:pPr>
            <w:r>
              <w:t xml:space="preserve">Page </w:t>
            </w:r>
            <w:r>
              <w:rPr>
                <w:b/>
                <w:bCs/>
                <w:sz w:val="24"/>
              </w:rPr>
              <w:fldChar w:fldCharType="begin"/>
            </w:r>
            <w:r>
              <w:rPr>
                <w:b/>
                <w:bCs/>
              </w:rPr>
              <w:instrText xml:space="preserve"> PAGE </w:instrText>
            </w:r>
            <w:r>
              <w:rPr>
                <w:b/>
                <w:bCs/>
                <w:sz w:val="24"/>
              </w:rPr>
              <w:fldChar w:fldCharType="separate"/>
            </w:r>
            <w:r w:rsidR="00B26937">
              <w:rPr>
                <w:b/>
                <w:bCs/>
                <w:noProof/>
              </w:rPr>
              <w:t>1</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sidR="00B26937">
              <w:rPr>
                <w:b/>
                <w:bCs/>
                <w:noProof/>
              </w:rPr>
              <w:t>8</w:t>
            </w:r>
            <w:r>
              <w:rPr>
                <w:b/>
                <w:bCs/>
                <w:sz w:val="24"/>
              </w:rPr>
              <w:fldChar w:fldCharType="end"/>
            </w:r>
          </w:p>
        </w:sdtContent>
      </w:sdt>
    </w:sdtContent>
  </w:sdt>
  <w:p w:rsidR="00CD413A" w:rsidRDefault="00CD41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50D" w:rsidRDefault="0045250D" w:rsidP="00E60A6C">
      <w:r>
        <w:separator/>
      </w:r>
    </w:p>
  </w:footnote>
  <w:footnote w:type="continuationSeparator" w:id="0">
    <w:p w:rsidR="0045250D" w:rsidRDefault="0045250D" w:rsidP="00E60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50D" w:rsidRDefault="0045250D" w:rsidP="00E60A6C">
    <w:pPr>
      <w:pStyle w:val="Header"/>
    </w:pPr>
    <w:r>
      <w:rPr>
        <w:noProof/>
        <w:lang w:val="en-US" w:eastAsia="en-US"/>
      </w:rPr>
      <w:drawing>
        <wp:inline distT="0" distB="0" distL="0" distR="0" wp14:anchorId="4310CE07" wp14:editId="76BCAAEC">
          <wp:extent cx="1438275" cy="608258"/>
          <wp:effectExtent l="0" t="0" r="0" b="1905"/>
          <wp:docPr id="1" name="Picture 1" descr="Cedar_UN_4_6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dar_UN_4_6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3598" cy="61050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05426EC"/>
    <w:multiLevelType w:val="multilevel"/>
    <w:tmpl w:val="BBF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AE1050"/>
    <w:multiLevelType w:val="multilevel"/>
    <w:tmpl w:val="FC4E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E295E"/>
    <w:multiLevelType w:val="hybridMultilevel"/>
    <w:tmpl w:val="7D6AB5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8493A"/>
    <w:multiLevelType w:val="multilevel"/>
    <w:tmpl w:val="112660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837CD"/>
    <w:multiLevelType w:val="multilevel"/>
    <w:tmpl w:val="C1BC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696050"/>
    <w:multiLevelType w:val="hybridMultilevel"/>
    <w:tmpl w:val="ACBAC66A"/>
    <w:lvl w:ilvl="0" w:tplc="58983A30">
      <w:numFmt w:val="bullet"/>
      <w:lvlText w:val="·"/>
      <w:lvlJc w:val="left"/>
      <w:pPr>
        <w:ind w:left="915" w:hanging="555"/>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C668E5"/>
    <w:multiLevelType w:val="multilevel"/>
    <w:tmpl w:val="BD50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FD2839"/>
    <w:multiLevelType w:val="multilevel"/>
    <w:tmpl w:val="7BC8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777D87"/>
    <w:multiLevelType w:val="hybridMultilevel"/>
    <w:tmpl w:val="09EAC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0F553A"/>
    <w:multiLevelType w:val="multilevel"/>
    <w:tmpl w:val="A1468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3C752F"/>
    <w:multiLevelType w:val="multilevel"/>
    <w:tmpl w:val="B1D2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3829A9"/>
    <w:multiLevelType w:val="multilevel"/>
    <w:tmpl w:val="D0F8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C145D2"/>
    <w:multiLevelType w:val="multilevel"/>
    <w:tmpl w:val="95EA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E93F77"/>
    <w:multiLevelType w:val="multilevel"/>
    <w:tmpl w:val="EB70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1050B9"/>
    <w:multiLevelType w:val="multilevel"/>
    <w:tmpl w:val="3E08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6E03C4"/>
    <w:multiLevelType w:val="hybridMultilevel"/>
    <w:tmpl w:val="343EA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AA6F76"/>
    <w:multiLevelType w:val="hybridMultilevel"/>
    <w:tmpl w:val="6AEA17F4"/>
    <w:lvl w:ilvl="0" w:tplc="4BC08B40">
      <w:start w:val="1"/>
      <w:numFmt w:val="bullet"/>
      <w:pStyle w:val="ListParagraph"/>
      <w:lvlText w:val=""/>
      <w:lvlJc w:val="left"/>
      <w:pPr>
        <w:ind w:left="1571" w:hanging="360"/>
      </w:pPr>
      <w:rPr>
        <w:rFonts w:ascii="Wingdings" w:hAnsi="Wingdings"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2"/>
  </w:num>
  <w:num w:numId="2">
    <w:abstractNumId w:val="17"/>
  </w:num>
  <w:num w:numId="3">
    <w:abstractNumId w:val="6"/>
  </w:num>
  <w:num w:numId="4">
    <w:abstractNumId w:val="8"/>
  </w:num>
  <w:num w:numId="5">
    <w:abstractNumId w:val="14"/>
  </w:num>
  <w:num w:numId="6">
    <w:abstractNumId w:val="13"/>
  </w:num>
  <w:num w:numId="7">
    <w:abstractNumId w:val="7"/>
  </w:num>
  <w:num w:numId="8">
    <w:abstractNumId w:val="15"/>
  </w:num>
  <w:num w:numId="9">
    <w:abstractNumId w:val="11"/>
  </w:num>
  <w:num w:numId="10">
    <w:abstractNumId w:val="12"/>
  </w:num>
  <w:num w:numId="11">
    <w:abstractNumId w:val="10"/>
  </w:num>
  <w:num w:numId="12">
    <w:abstractNumId w:val="1"/>
  </w:num>
  <w:num w:numId="13">
    <w:abstractNumId w:val="5"/>
  </w:num>
  <w:num w:numId="14">
    <w:abstractNumId w:val="9"/>
  </w:num>
  <w:num w:numId="15">
    <w:abstractNumId w:val="3"/>
  </w:num>
  <w:num w:numId="16">
    <w:abstractNumId w:val="0"/>
  </w:num>
  <w:num w:numId="17">
    <w:abstractNumId w:val="1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F19"/>
    <w:rsid w:val="00025C56"/>
    <w:rsid w:val="000B1561"/>
    <w:rsid w:val="000C26A3"/>
    <w:rsid w:val="00144E5B"/>
    <w:rsid w:val="0027299E"/>
    <w:rsid w:val="002A4098"/>
    <w:rsid w:val="00302950"/>
    <w:rsid w:val="00323294"/>
    <w:rsid w:val="00384B20"/>
    <w:rsid w:val="00420033"/>
    <w:rsid w:val="0045250D"/>
    <w:rsid w:val="004F5441"/>
    <w:rsid w:val="0053084C"/>
    <w:rsid w:val="005B099B"/>
    <w:rsid w:val="005E0F19"/>
    <w:rsid w:val="006040F2"/>
    <w:rsid w:val="00632324"/>
    <w:rsid w:val="00680DEC"/>
    <w:rsid w:val="006919CE"/>
    <w:rsid w:val="007234BE"/>
    <w:rsid w:val="00726B98"/>
    <w:rsid w:val="00736468"/>
    <w:rsid w:val="007463D6"/>
    <w:rsid w:val="007C5306"/>
    <w:rsid w:val="007F2DD1"/>
    <w:rsid w:val="0086735C"/>
    <w:rsid w:val="009715D2"/>
    <w:rsid w:val="0097574F"/>
    <w:rsid w:val="0097748F"/>
    <w:rsid w:val="00A37631"/>
    <w:rsid w:val="00A52C52"/>
    <w:rsid w:val="00A745DE"/>
    <w:rsid w:val="00AA54C4"/>
    <w:rsid w:val="00AC39A4"/>
    <w:rsid w:val="00AE47B6"/>
    <w:rsid w:val="00B26937"/>
    <w:rsid w:val="00B357CA"/>
    <w:rsid w:val="00B62FDE"/>
    <w:rsid w:val="00BB68BC"/>
    <w:rsid w:val="00C07CEC"/>
    <w:rsid w:val="00C32B20"/>
    <w:rsid w:val="00C33D0E"/>
    <w:rsid w:val="00CD413A"/>
    <w:rsid w:val="00D10EE9"/>
    <w:rsid w:val="00D50C95"/>
    <w:rsid w:val="00D77186"/>
    <w:rsid w:val="00E20705"/>
    <w:rsid w:val="00E56DC6"/>
    <w:rsid w:val="00E60A6C"/>
    <w:rsid w:val="00E61460"/>
    <w:rsid w:val="00EE4BBB"/>
    <w:rsid w:val="00F442F5"/>
    <w:rsid w:val="00F474C0"/>
    <w:rsid w:val="00F95B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5F51C15-877D-41BC-AF90-A7533B8F8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A6C"/>
    <w:pPr>
      <w:spacing w:before="120" w:after="120" w:line="276" w:lineRule="auto"/>
      <w:ind w:left="851" w:right="1089"/>
      <w:jc w:val="both"/>
      <w:outlineLvl w:val="0"/>
    </w:pPr>
    <w:rPr>
      <w:rFonts w:ascii="Segoe UI" w:eastAsia="Times New Roman" w:hAnsi="Segoe UI" w:cs="Segoe UI"/>
      <w:color w:val="000000"/>
      <w:kern w:val="36"/>
      <w:sz w:val="21"/>
      <w:szCs w:val="21"/>
      <w:lang w:val="en-US" w:eastAsia="en-US"/>
    </w:rPr>
  </w:style>
  <w:style w:type="paragraph" w:styleId="Heading1">
    <w:name w:val="heading 1"/>
    <w:basedOn w:val="Normal"/>
    <w:link w:val="Heading1Char"/>
    <w:uiPriority w:val="9"/>
    <w:qFormat/>
    <w:rsid w:val="005E0F19"/>
    <w:pPr>
      <w:spacing w:before="100" w:beforeAutospacing="1" w:after="100" w:afterAutospacing="1" w:line="240" w:lineRule="auto"/>
    </w:pPr>
    <w:rPr>
      <w:rFonts w:ascii="Times New Roman" w:hAnsi="Times New Roman" w:cs="Times New Roman"/>
      <w:b/>
      <w:bCs/>
      <w:sz w:val="48"/>
      <w:szCs w:val="48"/>
      <w:lang w:val="x-none" w:eastAsia="x-none"/>
    </w:rPr>
  </w:style>
  <w:style w:type="paragraph" w:styleId="Heading2">
    <w:name w:val="heading 2"/>
    <w:basedOn w:val="Normal"/>
    <w:link w:val="Heading2Char"/>
    <w:uiPriority w:val="9"/>
    <w:qFormat/>
    <w:rsid w:val="00E60A6C"/>
    <w:pPr>
      <w:pBdr>
        <w:bottom w:val="single" w:sz="4" w:space="1" w:color="auto"/>
      </w:pBdr>
      <w:spacing w:before="100" w:beforeAutospacing="1" w:after="100" w:afterAutospacing="1" w:line="240" w:lineRule="auto"/>
      <w:ind w:left="0"/>
      <w:outlineLvl w:val="1"/>
    </w:pPr>
    <w:rPr>
      <w:rFonts w:cs="Times New Roman"/>
      <w:sz w:val="28"/>
      <w:szCs w:val="28"/>
      <w:lang w:val="x-none" w:eastAsia="x-none"/>
    </w:rPr>
  </w:style>
  <w:style w:type="paragraph" w:styleId="Heading3">
    <w:name w:val="heading 3"/>
    <w:basedOn w:val="Normal"/>
    <w:next w:val="Normal"/>
    <w:link w:val="Heading3Char"/>
    <w:uiPriority w:val="9"/>
    <w:unhideWhenUsed/>
    <w:qFormat/>
    <w:rsid w:val="00E60A6C"/>
    <w:pPr>
      <w:keepNext/>
      <w:spacing w:before="240" w:after="60"/>
      <w:ind w:left="0"/>
      <w:outlineLvl w:val="2"/>
    </w:pPr>
    <w:rPr>
      <w:rFonts w:cs="Times New Roman"/>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0F19"/>
    <w:rPr>
      <w:rFonts w:ascii="Times New Roman" w:eastAsia="Times New Roman" w:hAnsi="Times New Roman" w:cs="Times New Roman"/>
      <w:b/>
      <w:bCs/>
      <w:kern w:val="36"/>
      <w:sz w:val="48"/>
      <w:szCs w:val="48"/>
    </w:rPr>
  </w:style>
  <w:style w:type="character" w:customStyle="1" w:styleId="Heading2Char">
    <w:name w:val="Heading 2 Char"/>
    <w:link w:val="Heading2"/>
    <w:uiPriority w:val="9"/>
    <w:rsid w:val="00E60A6C"/>
    <w:rPr>
      <w:rFonts w:ascii="Segoe UI" w:eastAsia="Times New Roman" w:hAnsi="Segoe UI" w:cs="Times New Roman"/>
      <w:color w:val="000000"/>
      <w:kern w:val="36"/>
      <w:sz w:val="28"/>
      <w:szCs w:val="28"/>
      <w:lang w:val="x-none" w:eastAsia="x-none"/>
    </w:rPr>
  </w:style>
  <w:style w:type="paragraph" w:styleId="NormalWeb">
    <w:name w:val="Normal (Web)"/>
    <w:basedOn w:val="Normal"/>
    <w:uiPriority w:val="99"/>
    <w:unhideWhenUsed/>
    <w:rsid w:val="005E0F19"/>
    <w:pPr>
      <w:spacing w:before="100" w:beforeAutospacing="1" w:after="100" w:afterAutospacing="1" w:line="240" w:lineRule="auto"/>
    </w:pPr>
    <w:rPr>
      <w:rFonts w:ascii="Times New Roman" w:hAnsi="Times New Roman" w:cs="Times New Roman"/>
      <w:sz w:val="24"/>
      <w:szCs w:val="24"/>
    </w:rPr>
  </w:style>
  <w:style w:type="character" w:styleId="Hyperlink">
    <w:name w:val="Hyperlink"/>
    <w:uiPriority w:val="99"/>
    <w:unhideWhenUsed/>
    <w:rsid w:val="005E0F19"/>
    <w:rPr>
      <w:color w:val="0000FF"/>
      <w:u w:val="single"/>
    </w:rPr>
  </w:style>
  <w:style w:type="character" w:customStyle="1" w:styleId="Heading3Char">
    <w:name w:val="Heading 3 Char"/>
    <w:link w:val="Heading3"/>
    <w:uiPriority w:val="9"/>
    <w:rsid w:val="00E60A6C"/>
    <w:rPr>
      <w:rFonts w:ascii="Segoe UI" w:eastAsia="Times New Roman" w:hAnsi="Segoe UI" w:cs="Times New Roman"/>
      <w:color w:val="000000"/>
      <w:kern w:val="36"/>
      <w:sz w:val="24"/>
      <w:szCs w:val="24"/>
      <w:lang w:val="x-none" w:eastAsia="x-none"/>
    </w:rPr>
  </w:style>
  <w:style w:type="paragraph" w:styleId="ListParagraph">
    <w:name w:val="List Paragraph"/>
    <w:basedOn w:val="Normal"/>
    <w:uiPriority w:val="34"/>
    <w:qFormat/>
    <w:rsid w:val="00E60A6C"/>
    <w:pPr>
      <w:numPr>
        <w:numId w:val="2"/>
      </w:numPr>
      <w:contextualSpacing/>
    </w:pPr>
    <w:rPr>
      <w:sz w:val="20"/>
      <w:szCs w:val="24"/>
      <w:lang w:val="en-GB"/>
    </w:rPr>
  </w:style>
  <w:style w:type="paragraph" w:styleId="Footer">
    <w:name w:val="footer"/>
    <w:basedOn w:val="Normal"/>
    <w:link w:val="FooterChar"/>
    <w:uiPriority w:val="99"/>
    <w:rsid w:val="00EE4BBB"/>
    <w:pPr>
      <w:tabs>
        <w:tab w:val="center" w:pos="4320"/>
        <w:tab w:val="right" w:pos="8640"/>
      </w:tabs>
      <w:spacing w:after="0" w:line="240" w:lineRule="auto"/>
    </w:pPr>
    <w:rPr>
      <w:rFonts w:ascii="Trebuchet MS" w:hAnsi="Trebuchet MS" w:cs="Times New Roman"/>
      <w:sz w:val="20"/>
      <w:szCs w:val="24"/>
      <w:lang w:val="en-GB" w:eastAsia="x-none"/>
    </w:rPr>
  </w:style>
  <w:style w:type="character" w:customStyle="1" w:styleId="FooterChar">
    <w:name w:val="Footer Char"/>
    <w:link w:val="Footer"/>
    <w:uiPriority w:val="99"/>
    <w:rsid w:val="00EE4BBB"/>
    <w:rPr>
      <w:rFonts w:ascii="Trebuchet MS" w:eastAsia="Times New Roman" w:hAnsi="Trebuchet MS" w:cs="Times New Roman"/>
      <w:szCs w:val="24"/>
      <w:lang w:val="en-GB"/>
    </w:rPr>
  </w:style>
  <w:style w:type="paragraph" w:styleId="Header">
    <w:name w:val="header"/>
    <w:basedOn w:val="Normal"/>
    <w:link w:val="HeaderChar"/>
    <w:uiPriority w:val="99"/>
    <w:unhideWhenUsed/>
    <w:rsid w:val="00736468"/>
    <w:pPr>
      <w:tabs>
        <w:tab w:val="center" w:pos="4680"/>
        <w:tab w:val="right" w:pos="9360"/>
      </w:tabs>
    </w:pPr>
    <w:rPr>
      <w:rFonts w:cs="Times New Roman"/>
      <w:lang w:val="x-none" w:eastAsia="x-none"/>
    </w:rPr>
  </w:style>
  <w:style w:type="character" w:customStyle="1" w:styleId="HeaderChar">
    <w:name w:val="Header Char"/>
    <w:link w:val="Header"/>
    <w:uiPriority w:val="99"/>
    <w:rsid w:val="00736468"/>
    <w:rPr>
      <w:sz w:val="22"/>
      <w:szCs w:val="22"/>
    </w:rPr>
  </w:style>
  <w:style w:type="character" w:styleId="CommentReference">
    <w:name w:val="annotation reference"/>
    <w:uiPriority w:val="99"/>
    <w:semiHidden/>
    <w:unhideWhenUsed/>
    <w:rsid w:val="00BB68BC"/>
    <w:rPr>
      <w:sz w:val="16"/>
      <w:szCs w:val="16"/>
    </w:rPr>
  </w:style>
  <w:style w:type="paragraph" w:styleId="CommentText">
    <w:name w:val="annotation text"/>
    <w:basedOn w:val="Normal"/>
    <w:link w:val="CommentTextChar"/>
    <w:uiPriority w:val="99"/>
    <w:semiHidden/>
    <w:unhideWhenUsed/>
    <w:rsid w:val="00BB68BC"/>
    <w:rPr>
      <w:sz w:val="20"/>
      <w:szCs w:val="20"/>
    </w:rPr>
  </w:style>
  <w:style w:type="character" w:customStyle="1" w:styleId="CommentTextChar">
    <w:name w:val="Comment Text Char"/>
    <w:basedOn w:val="DefaultParagraphFont"/>
    <w:link w:val="CommentText"/>
    <w:uiPriority w:val="99"/>
    <w:semiHidden/>
    <w:rsid w:val="00BB68BC"/>
  </w:style>
  <w:style w:type="paragraph" w:styleId="CommentSubject">
    <w:name w:val="annotation subject"/>
    <w:basedOn w:val="CommentText"/>
    <w:next w:val="CommentText"/>
    <w:link w:val="CommentSubjectChar"/>
    <w:uiPriority w:val="99"/>
    <w:semiHidden/>
    <w:unhideWhenUsed/>
    <w:rsid w:val="00BB68BC"/>
    <w:rPr>
      <w:b/>
      <w:bCs/>
    </w:rPr>
  </w:style>
  <w:style w:type="character" w:customStyle="1" w:styleId="CommentSubjectChar">
    <w:name w:val="Comment Subject Char"/>
    <w:link w:val="CommentSubject"/>
    <w:uiPriority w:val="99"/>
    <w:semiHidden/>
    <w:rsid w:val="00BB68BC"/>
    <w:rPr>
      <w:b/>
      <w:bCs/>
    </w:rPr>
  </w:style>
  <w:style w:type="paragraph" w:styleId="BalloonText">
    <w:name w:val="Balloon Text"/>
    <w:basedOn w:val="Normal"/>
    <w:link w:val="BalloonTextChar"/>
    <w:uiPriority w:val="99"/>
    <w:semiHidden/>
    <w:unhideWhenUsed/>
    <w:rsid w:val="00BB68B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68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572019">
      <w:bodyDiv w:val="1"/>
      <w:marLeft w:val="0"/>
      <w:marRight w:val="0"/>
      <w:marTop w:val="0"/>
      <w:marBottom w:val="0"/>
      <w:divBdr>
        <w:top w:val="none" w:sz="0" w:space="0" w:color="auto"/>
        <w:left w:val="none" w:sz="0" w:space="0" w:color="auto"/>
        <w:bottom w:val="none" w:sz="0" w:space="0" w:color="auto"/>
        <w:right w:val="none" w:sz="0" w:space="0" w:color="auto"/>
      </w:divBdr>
    </w:div>
    <w:div w:id="1011835548">
      <w:bodyDiv w:val="1"/>
      <w:marLeft w:val="0"/>
      <w:marRight w:val="0"/>
      <w:marTop w:val="0"/>
      <w:marBottom w:val="0"/>
      <w:divBdr>
        <w:top w:val="none" w:sz="0" w:space="0" w:color="auto"/>
        <w:left w:val="none" w:sz="0" w:space="0" w:color="auto"/>
        <w:bottom w:val="none" w:sz="0" w:space="0" w:color="auto"/>
        <w:right w:val="none" w:sz="0" w:space="0" w:color="auto"/>
      </w:divBdr>
      <w:divsChild>
        <w:div w:id="1011108306">
          <w:marLeft w:val="0"/>
          <w:marRight w:val="0"/>
          <w:marTop w:val="0"/>
          <w:marBottom w:val="0"/>
          <w:divBdr>
            <w:top w:val="none" w:sz="0" w:space="0" w:color="auto"/>
            <w:left w:val="none" w:sz="0" w:space="0" w:color="auto"/>
            <w:bottom w:val="none" w:sz="0" w:space="0" w:color="auto"/>
            <w:right w:val="none" w:sz="0" w:space="0" w:color="auto"/>
          </w:divBdr>
        </w:div>
        <w:div w:id="1203857477">
          <w:marLeft w:val="0"/>
          <w:marRight w:val="0"/>
          <w:marTop w:val="0"/>
          <w:marBottom w:val="0"/>
          <w:divBdr>
            <w:top w:val="none" w:sz="0" w:space="0" w:color="auto"/>
            <w:left w:val="none" w:sz="0" w:space="0" w:color="auto"/>
            <w:bottom w:val="none" w:sz="0" w:space="0" w:color="auto"/>
            <w:right w:val="none" w:sz="0" w:space="0" w:color="auto"/>
          </w:divBdr>
        </w:div>
        <w:div w:id="1744446705">
          <w:marLeft w:val="0"/>
          <w:marRight w:val="0"/>
          <w:marTop w:val="0"/>
          <w:marBottom w:val="0"/>
          <w:divBdr>
            <w:top w:val="none" w:sz="0" w:space="0" w:color="auto"/>
            <w:left w:val="none" w:sz="0" w:space="0" w:color="auto"/>
            <w:bottom w:val="none" w:sz="0" w:space="0" w:color="auto"/>
            <w:right w:val="none" w:sz="0" w:space="0" w:color="auto"/>
          </w:divBdr>
        </w:div>
      </w:divsChild>
    </w:div>
    <w:div w:id="1901087878">
      <w:bodyDiv w:val="1"/>
      <w:marLeft w:val="0"/>
      <w:marRight w:val="0"/>
      <w:marTop w:val="0"/>
      <w:marBottom w:val="0"/>
      <w:divBdr>
        <w:top w:val="none" w:sz="0" w:space="0" w:color="auto"/>
        <w:left w:val="none" w:sz="0" w:space="0" w:color="auto"/>
        <w:bottom w:val="none" w:sz="0" w:space="0" w:color="auto"/>
        <w:right w:val="none" w:sz="0" w:space="0" w:color="auto"/>
      </w:divBdr>
      <w:divsChild>
        <w:div w:id="198670315">
          <w:marLeft w:val="0"/>
          <w:marRight w:val="0"/>
          <w:marTop w:val="0"/>
          <w:marBottom w:val="0"/>
          <w:divBdr>
            <w:top w:val="none" w:sz="0" w:space="0" w:color="auto"/>
            <w:left w:val="none" w:sz="0" w:space="0" w:color="auto"/>
            <w:bottom w:val="none" w:sz="0" w:space="0" w:color="auto"/>
            <w:right w:val="none" w:sz="0" w:space="0" w:color="auto"/>
          </w:divBdr>
        </w:div>
        <w:div w:id="303899757">
          <w:marLeft w:val="0"/>
          <w:marRight w:val="0"/>
          <w:marTop w:val="0"/>
          <w:marBottom w:val="0"/>
          <w:divBdr>
            <w:top w:val="none" w:sz="0" w:space="0" w:color="auto"/>
            <w:left w:val="none" w:sz="0" w:space="0" w:color="auto"/>
            <w:bottom w:val="none" w:sz="0" w:space="0" w:color="auto"/>
            <w:right w:val="none" w:sz="0" w:space="0" w:color="auto"/>
          </w:divBdr>
        </w:div>
        <w:div w:id="304358925">
          <w:marLeft w:val="0"/>
          <w:marRight w:val="0"/>
          <w:marTop w:val="0"/>
          <w:marBottom w:val="0"/>
          <w:divBdr>
            <w:top w:val="none" w:sz="0" w:space="0" w:color="auto"/>
            <w:left w:val="none" w:sz="0" w:space="0" w:color="auto"/>
            <w:bottom w:val="none" w:sz="0" w:space="0" w:color="auto"/>
            <w:right w:val="none" w:sz="0" w:space="0" w:color="auto"/>
          </w:divBdr>
        </w:div>
        <w:div w:id="330455605">
          <w:marLeft w:val="0"/>
          <w:marRight w:val="0"/>
          <w:marTop w:val="0"/>
          <w:marBottom w:val="0"/>
          <w:divBdr>
            <w:top w:val="none" w:sz="0" w:space="0" w:color="auto"/>
            <w:left w:val="none" w:sz="0" w:space="0" w:color="auto"/>
            <w:bottom w:val="none" w:sz="0" w:space="0" w:color="auto"/>
            <w:right w:val="none" w:sz="0" w:space="0" w:color="auto"/>
          </w:divBdr>
        </w:div>
        <w:div w:id="331028704">
          <w:marLeft w:val="0"/>
          <w:marRight w:val="0"/>
          <w:marTop w:val="0"/>
          <w:marBottom w:val="0"/>
          <w:divBdr>
            <w:top w:val="none" w:sz="0" w:space="0" w:color="auto"/>
            <w:left w:val="none" w:sz="0" w:space="0" w:color="auto"/>
            <w:bottom w:val="none" w:sz="0" w:space="0" w:color="auto"/>
            <w:right w:val="none" w:sz="0" w:space="0" w:color="auto"/>
          </w:divBdr>
        </w:div>
        <w:div w:id="506479988">
          <w:marLeft w:val="0"/>
          <w:marRight w:val="0"/>
          <w:marTop w:val="0"/>
          <w:marBottom w:val="0"/>
          <w:divBdr>
            <w:top w:val="none" w:sz="0" w:space="0" w:color="auto"/>
            <w:left w:val="none" w:sz="0" w:space="0" w:color="auto"/>
            <w:bottom w:val="none" w:sz="0" w:space="0" w:color="auto"/>
            <w:right w:val="none" w:sz="0" w:space="0" w:color="auto"/>
          </w:divBdr>
        </w:div>
        <w:div w:id="656302146">
          <w:marLeft w:val="0"/>
          <w:marRight w:val="0"/>
          <w:marTop w:val="0"/>
          <w:marBottom w:val="0"/>
          <w:divBdr>
            <w:top w:val="none" w:sz="0" w:space="0" w:color="auto"/>
            <w:left w:val="none" w:sz="0" w:space="0" w:color="auto"/>
            <w:bottom w:val="none" w:sz="0" w:space="0" w:color="auto"/>
            <w:right w:val="none" w:sz="0" w:space="0" w:color="auto"/>
          </w:divBdr>
        </w:div>
        <w:div w:id="904031570">
          <w:marLeft w:val="0"/>
          <w:marRight w:val="0"/>
          <w:marTop w:val="0"/>
          <w:marBottom w:val="0"/>
          <w:divBdr>
            <w:top w:val="none" w:sz="0" w:space="0" w:color="auto"/>
            <w:left w:val="none" w:sz="0" w:space="0" w:color="auto"/>
            <w:bottom w:val="none" w:sz="0" w:space="0" w:color="auto"/>
            <w:right w:val="none" w:sz="0" w:space="0" w:color="auto"/>
          </w:divBdr>
        </w:div>
        <w:div w:id="1485466554">
          <w:marLeft w:val="0"/>
          <w:marRight w:val="0"/>
          <w:marTop w:val="0"/>
          <w:marBottom w:val="0"/>
          <w:divBdr>
            <w:top w:val="none" w:sz="0" w:space="0" w:color="auto"/>
            <w:left w:val="none" w:sz="0" w:space="0" w:color="auto"/>
            <w:bottom w:val="none" w:sz="0" w:space="0" w:color="auto"/>
            <w:right w:val="none" w:sz="0" w:space="0" w:color="auto"/>
          </w:divBdr>
          <w:divsChild>
            <w:div w:id="1291859253">
              <w:marLeft w:val="0"/>
              <w:marRight w:val="0"/>
              <w:marTop w:val="0"/>
              <w:marBottom w:val="0"/>
              <w:divBdr>
                <w:top w:val="none" w:sz="0" w:space="0" w:color="auto"/>
                <w:left w:val="none" w:sz="0" w:space="0" w:color="auto"/>
                <w:bottom w:val="none" w:sz="0" w:space="0" w:color="auto"/>
                <w:right w:val="none" w:sz="0" w:space="0" w:color="auto"/>
              </w:divBdr>
            </w:div>
          </w:divsChild>
        </w:div>
        <w:div w:id="1539927405">
          <w:marLeft w:val="0"/>
          <w:marRight w:val="0"/>
          <w:marTop w:val="0"/>
          <w:marBottom w:val="0"/>
          <w:divBdr>
            <w:top w:val="none" w:sz="0" w:space="0" w:color="auto"/>
            <w:left w:val="none" w:sz="0" w:space="0" w:color="auto"/>
            <w:bottom w:val="none" w:sz="0" w:space="0" w:color="auto"/>
            <w:right w:val="none" w:sz="0" w:space="0" w:color="auto"/>
          </w:divBdr>
        </w:div>
        <w:div w:id="1673755725">
          <w:marLeft w:val="0"/>
          <w:marRight w:val="0"/>
          <w:marTop w:val="0"/>
          <w:marBottom w:val="0"/>
          <w:divBdr>
            <w:top w:val="none" w:sz="0" w:space="0" w:color="auto"/>
            <w:left w:val="none" w:sz="0" w:space="0" w:color="auto"/>
            <w:bottom w:val="none" w:sz="0" w:space="0" w:color="auto"/>
            <w:right w:val="none" w:sz="0" w:space="0" w:color="auto"/>
          </w:divBdr>
        </w:div>
        <w:div w:id="1690795172">
          <w:marLeft w:val="0"/>
          <w:marRight w:val="0"/>
          <w:marTop w:val="0"/>
          <w:marBottom w:val="0"/>
          <w:divBdr>
            <w:top w:val="none" w:sz="0" w:space="0" w:color="auto"/>
            <w:left w:val="none" w:sz="0" w:space="0" w:color="auto"/>
            <w:bottom w:val="none" w:sz="0" w:space="0" w:color="auto"/>
            <w:right w:val="none" w:sz="0" w:space="0" w:color="auto"/>
          </w:divBdr>
        </w:div>
        <w:div w:id="1766075452">
          <w:marLeft w:val="0"/>
          <w:marRight w:val="0"/>
          <w:marTop w:val="0"/>
          <w:marBottom w:val="0"/>
          <w:divBdr>
            <w:top w:val="none" w:sz="0" w:space="0" w:color="auto"/>
            <w:left w:val="none" w:sz="0" w:space="0" w:color="auto"/>
            <w:bottom w:val="none" w:sz="0" w:space="0" w:color="auto"/>
            <w:right w:val="none" w:sz="0" w:space="0" w:color="auto"/>
          </w:divBdr>
        </w:div>
        <w:div w:id="1791900752">
          <w:marLeft w:val="0"/>
          <w:marRight w:val="0"/>
          <w:marTop w:val="0"/>
          <w:marBottom w:val="0"/>
          <w:divBdr>
            <w:top w:val="none" w:sz="0" w:space="0" w:color="auto"/>
            <w:left w:val="none" w:sz="0" w:space="0" w:color="auto"/>
            <w:bottom w:val="none" w:sz="0" w:space="0" w:color="auto"/>
            <w:right w:val="none" w:sz="0" w:space="0" w:color="auto"/>
          </w:divBdr>
        </w:div>
        <w:div w:id="1902399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Research_ques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aosoft.com/samplesize.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17E8D-3F3A-45F6-9061-39E4074D5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12609</CharactersWithSpaces>
  <SharedDoc>false</SharedDoc>
  <HLinks>
    <vt:vector size="12" baseType="variant">
      <vt:variant>
        <vt:i4>7209015</vt:i4>
      </vt:variant>
      <vt:variant>
        <vt:i4>3</vt:i4>
      </vt:variant>
      <vt:variant>
        <vt:i4>0</vt:i4>
      </vt:variant>
      <vt:variant>
        <vt:i4>5</vt:i4>
      </vt:variant>
      <vt:variant>
        <vt:lpwstr>http://www.raosoft.com/samplesize.html</vt:lpwstr>
      </vt:variant>
      <vt:variant>
        <vt:lpwstr/>
      </vt:variant>
      <vt:variant>
        <vt:i4>4325408</vt:i4>
      </vt:variant>
      <vt:variant>
        <vt:i4>0</vt:i4>
      </vt:variant>
      <vt:variant>
        <vt:i4>0</vt:i4>
      </vt:variant>
      <vt:variant>
        <vt:i4>5</vt:i4>
      </vt:variant>
      <vt:variant>
        <vt:lpwstr>http://en.wikipedia.org/wiki/Research_question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Johnstone</dc:creator>
  <cp:lastModifiedBy>Malcolm Ivan JOHNSTONE</cp:lastModifiedBy>
  <cp:revision>2</cp:revision>
  <cp:lastPrinted>2014-10-01T06:50:00Z</cp:lastPrinted>
  <dcterms:created xsi:type="dcterms:W3CDTF">2017-12-07T12:53:00Z</dcterms:created>
  <dcterms:modified xsi:type="dcterms:W3CDTF">2017-12-07T12:53:00Z</dcterms:modified>
</cp:coreProperties>
</file>