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7EC96" w14:textId="4539D72A" w:rsidR="005A35D1" w:rsidRPr="00A66F4C" w:rsidRDefault="005A35D1" w:rsidP="00A66F4C">
      <w:pPr>
        <w:spacing w:before="240" w:after="240"/>
        <w:jc w:val="center"/>
        <w:rPr>
          <w:b/>
          <w:bCs/>
          <w:sz w:val="32"/>
          <w:szCs w:val="32"/>
          <w:u w:val="single"/>
        </w:rPr>
      </w:pPr>
      <w:bookmarkStart w:id="0" w:name="_GoBack"/>
      <w:bookmarkEnd w:id="0"/>
      <w:r w:rsidRPr="00A66F4C">
        <w:rPr>
          <w:b/>
          <w:bCs/>
          <w:sz w:val="32"/>
          <w:szCs w:val="32"/>
          <w:u w:val="single"/>
        </w:rPr>
        <w:t>LCRP Livelihoods Working Group – 201</w:t>
      </w:r>
      <w:r w:rsidR="00594DC3" w:rsidRPr="00A66F4C">
        <w:rPr>
          <w:b/>
          <w:bCs/>
          <w:sz w:val="32"/>
          <w:szCs w:val="32"/>
          <w:u w:val="single"/>
        </w:rPr>
        <w:t>8</w:t>
      </w:r>
      <w:r w:rsidRPr="00A66F4C">
        <w:rPr>
          <w:b/>
          <w:bCs/>
          <w:sz w:val="32"/>
          <w:szCs w:val="32"/>
          <w:u w:val="single"/>
        </w:rPr>
        <w:t xml:space="preserve"> Work Plan</w:t>
      </w:r>
    </w:p>
    <w:tbl>
      <w:tblPr>
        <w:tblStyle w:val="TableGrid"/>
        <w:tblpPr w:leftFromText="181" w:rightFromText="181" w:vertAnchor="text" w:horzAnchor="margin" w:tblpX="-431" w:tblpY="1"/>
        <w:tblW w:w="13855" w:type="dxa"/>
        <w:tblLayout w:type="fixed"/>
        <w:tblLook w:val="04A0" w:firstRow="1" w:lastRow="0" w:firstColumn="1" w:lastColumn="0" w:noHBand="0" w:noVBand="1"/>
      </w:tblPr>
      <w:tblGrid>
        <w:gridCol w:w="3823"/>
        <w:gridCol w:w="7062"/>
        <w:gridCol w:w="2970"/>
      </w:tblGrid>
      <w:tr w:rsidR="005A35D1" w14:paraId="24E5DD72" w14:textId="77777777" w:rsidTr="004A2440">
        <w:tc>
          <w:tcPr>
            <w:tcW w:w="13855" w:type="dxa"/>
            <w:gridSpan w:val="3"/>
            <w:shd w:val="clear" w:color="auto" w:fill="DEEAF6" w:themeFill="accent1" w:themeFillTint="33"/>
          </w:tcPr>
          <w:p w14:paraId="74D4DB16" w14:textId="1311670E" w:rsidR="005A35D1" w:rsidRPr="00A66F4C" w:rsidRDefault="005A35D1" w:rsidP="00A66F4C">
            <w:pPr>
              <w:spacing w:before="120" w:after="120"/>
              <w:jc w:val="both"/>
              <w:rPr>
                <w:b/>
                <w:bCs/>
                <w:sz w:val="28"/>
                <w:szCs w:val="28"/>
              </w:rPr>
            </w:pPr>
            <w:r w:rsidRPr="00A66F4C">
              <w:rPr>
                <w:b/>
                <w:bCs/>
                <w:sz w:val="28"/>
                <w:szCs w:val="28"/>
              </w:rPr>
              <w:t>Key p</w:t>
            </w:r>
            <w:r w:rsidR="001B34A8" w:rsidRPr="00A66F4C">
              <w:rPr>
                <w:b/>
                <w:bCs/>
                <w:sz w:val="28"/>
                <w:szCs w:val="28"/>
              </w:rPr>
              <w:t>riorities of the sector for 201</w:t>
            </w:r>
            <w:r w:rsidR="00594DC3" w:rsidRPr="00A66F4C">
              <w:rPr>
                <w:b/>
                <w:bCs/>
                <w:sz w:val="28"/>
                <w:szCs w:val="28"/>
              </w:rPr>
              <w:t>8</w:t>
            </w:r>
          </w:p>
        </w:tc>
      </w:tr>
      <w:tr w:rsidR="004A2440" w14:paraId="03BC28CE" w14:textId="77777777" w:rsidTr="004A2440">
        <w:tc>
          <w:tcPr>
            <w:tcW w:w="3823" w:type="dxa"/>
            <w:shd w:val="clear" w:color="auto" w:fill="DEEAF6" w:themeFill="accent1" w:themeFillTint="33"/>
          </w:tcPr>
          <w:p w14:paraId="216D1B09" w14:textId="12D70EA4" w:rsidR="004A2440" w:rsidRPr="003931EB" w:rsidRDefault="00EA0C26" w:rsidP="00D05BF2">
            <w:pPr>
              <w:jc w:val="both"/>
              <w:rPr>
                <w:b/>
                <w:bCs/>
              </w:rPr>
            </w:pPr>
            <w:r>
              <w:rPr>
                <w:b/>
                <w:bCs/>
              </w:rPr>
              <w:t>Topic &amp; Objective</w:t>
            </w:r>
          </w:p>
        </w:tc>
        <w:tc>
          <w:tcPr>
            <w:tcW w:w="7062" w:type="dxa"/>
            <w:shd w:val="clear" w:color="auto" w:fill="DEEAF6" w:themeFill="accent1" w:themeFillTint="33"/>
          </w:tcPr>
          <w:p w14:paraId="71B2D9B8" w14:textId="77777777" w:rsidR="004A2440" w:rsidRPr="003931EB" w:rsidRDefault="004A2440" w:rsidP="00D05BF2">
            <w:pPr>
              <w:jc w:val="both"/>
              <w:rPr>
                <w:b/>
                <w:bCs/>
              </w:rPr>
            </w:pPr>
            <w:r w:rsidRPr="003931EB">
              <w:rPr>
                <w:b/>
                <w:bCs/>
              </w:rPr>
              <w:t>Deliverable</w:t>
            </w:r>
          </w:p>
        </w:tc>
        <w:tc>
          <w:tcPr>
            <w:tcW w:w="2970" w:type="dxa"/>
            <w:shd w:val="clear" w:color="auto" w:fill="DEEAF6" w:themeFill="accent1" w:themeFillTint="33"/>
          </w:tcPr>
          <w:p w14:paraId="3492EDDE" w14:textId="79F936F3" w:rsidR="004A2440" w:rsidRPr="004A2440" w:rsidRDefault="004A2440" w:rsidP="004A2440">
            <w:pPr>
              <w:jc w:val="both"/>
              <w:rPr>
                <w:b/>
                <w:bCs/>
              </w:rPr>
            </w:pPr>
            <w:r w:rsidRPr="004A2440">
              <w:rPr>
                <w:b/>
                <w:bCs/>
              </w:rPr>
              <w:t>Who and How</w:t>
            </w:r>
          </w:p>
        </w:tc>
      </w:tr>
      <w:tr w:rsidR="008F33E8" w14:paraId="078E71DD" w14:textId="77777777" w:rsidTr="00B05C48">
        <w:tc>
          <w:tcPr>
            <w:tcW w:w="13855" w:type="dxa"/>
            <w:gridSpan w:val="3"/>
            <w:tcBorders>
              <w:top w:val="nil"/>
              <w:left w:val="nil"/>
              <w:bottom w:val="single" w:sz="4" w:space="0" w:color="auto"/>
              <w:right w:val="nil"/>
            </w:tcBorders>
            <w:shd w:val="clear" w:color="auto" w:fill="DEEAF6" w:themeFill="accent1" w:themeFillTint="33"/>
          </w:tcPr>
          <w:tbl>
            <w:tblPr>
              <w:tblStyle w:val="TableGrid"/>
              <w:tblpPr w:leftFromText="181" w:rightFromText="181" w:vertAnchor="text" w:horzAnchor="margin" w:tblpX="-431" w:tblpY="1"/>
              <w:tblW w:w="13745" w:type="dxa"/>
              <w:tblLayout w:type="fixed"/>
              <w:tblLook w:val="04A0" w:firstRow="1" w:lastRow="0" w:firstColumn="1" w:lastColumn="0" w:noHBand="0" w:noVBand="1"/>
            </w:tblPr>
            <w:tblGrid>
              <w:gridCol w:w="3823"/>
              <w:gridCol w:w="7062"/>
              <w:gridCol w:w="2860"/>
            </w:tblGrid>
            <w:tr w:rsidR="004A2440" w:rsidRPr="003931EB" w14:paraId="23FF5543" w14:textId="77777777" w:rsidTr="003B112A">
              <w:tc>
                <w:tcPr>
                  <w:tcW w:w="3823" w:type="dxa"/>
                  <w:shd w:val="clear" w:color="auto" w:fill="DEEAF6" w:themeFill="accent1" w:themeFillTint="33"/>
                </w:tcPr>
                <w:p w14:paraId="35F2E045" w14:textId="6566E11B" w:rsidR="004A2440" w:rsidRDefault="001E74AA" w:rsidP="00A66F4C">
                  <w:pPr>
                    <w:spacing w:before="60" w:after="60"/>
                    <w:ind w:left="29"/>
                    <w:jc w:val="both"/>
                    <w:rPr>
                      <w:b/>
                      <w:bCs/>
                    </w:rPr>
                  </w:pPr>
                  <w:r>
                    <w:rPr>
                      <w:b/>
                      <w:bCs/>
                    </w:rPr>
                    <w:t xml:space="preserve">1. </w:t>
                  </w:r>
                  <w:r w:rsidR="00D42784">
                    <w:rPr>
                      <w:b/>
                      <w:bCs/>
                    </w:rPr>
                    <w:t>Enhance exchange of experiences and lessons learnt between partners supporting SMEs</w:t>
                  </w:r>
                </w:p>
                <w:p w14:paraId="41928E35" w14:textId="77777777" w:rsidR="00EA0C26" w:rsidRDefault="00EA0C26" w:rsidP="00A66F4C">
                  <w:pPr>
                    <w:spacing w:before="60" w:after="60"/>
                    <w:ind w:left="29"/>
                    <w:jc w:val="both"/>
                    <w:rPr>
                      <w:b/>
                      <w:bCs/>
                    </w:rPr>
                  </w:pPr>
                </w:p>
                <w:p w14:paraId="5C9031A9" w14:textId="6B1610B6" w:rsidR="00EA0C26" w:rsidRPr="001E74AA" w:rsidRDefault="00EA0C26" w:rsidP="00A66F4C">
                  <w:pPr>
                    <w:spacing w:before="60" w:after="60"/>
                    <w:ind w:left="29"/>
                    <w:jc w:val="both"/>
                    <w:rPr>
                      <w:bCs/>
                    </w:rPr>
                  </w:pPr>
                  <w:r w:rsidRPr="001E74AA">
                    <w:rPr>
                      <w:bCs/>
                    </w:rPr>
                    <w:t xml:space="preserve">Objective: </w:t>
                  </w:r>
                  <w:r w:rsidR="00D42784" w:rsidRPr="001E74AA">
                    <w:rPr>
                      <w:bCs/>
                    </w:rPr>
                    <w:t>reinforce coordination around support to SMEs and ensure alignment with SME strategy</w:t>
                  </w:r>
                  <w:r w:rsidRPr="001E74AA">
                    <w:rPr>
                      <w:bCs/>
                    </w:rPr>
                    <w:t xml:space="preserve"> </w:t>
                  </w:r>
                  <w:r w:rsidR="00D42784" w:rsidRPr="001E74AA">
                    <w:rPr>
                      <w:bCs/>
                    </w:rPr>
                    <w:t>to increase impact on Job creation</w:t>
                  </w:r>
                </w:p>
              </w:tc>
              <w:tc>
                <w:tcPr>
                  <w:tcW w:w="7062" w:type="dxa"/>
                  <w:shd w:val="clear" w:color="auto" w:fill="DEEAF6" w:themeFill="accent1" w:themeFillTint="33"/>
                </w:tcPr>
                <w:p w14:paraId="484E0D47" w14:textId="34075CDF" w:rsidR="004A2440" w:rsidRDefault="00D42784" w:rsidP="00A66F4C">
                  <w:pPr>
                    <w:pStyle w:val="ListParagraph"/>
                    <w:numPr>
                      <w:ilvl w:val="0"/>
                      <w:numId w:val="1"/>
                    </w:numPr>
                    <w:spacing w:before="60" w:after="60"/>
                    <w:ind w:left="152" w:hanging="152"/>
                    <w:jc w:val="both"/>
                  </w:pPr>
                  <w:r>
                    <w:t xml:space="preserve">Quarterly meeting between partners supporting SMEs, </w:t>
                  </w:r>
                  <w:proofErr w:type="spellStart"/>
                  <w:r>
                    <w:t>MoET</w:t>
                  </w:r>
                  <w:proofErr w:type="spellEnd"/>
                  <w:r>
                    <w:t xml:space="preserve"> and </w:t>
                  </w:r>
                  <w:proofErr w:type="spellStart"/>
                  <w:r>
                    <w:t>MoSA</w:t>
                  </w:r>
                  <w:proofErr w:type="spellEnd"/>
                  <w:r>
                    <w:t xml:space="preserve">. Each meeting to focus on one specific challenge / issue in supporting SMEs and identify ways to address it. </w:t>
                  </w:r>
                </w:p>
                <w:p w14:paraId="6137F0FE" w14:textId="3A253084" w:rsidR="000D3291" w:rsidRDefault="000D3291" w:rsidP="00A66F4C">
                  <w:pPr>
                    <w:pStyle w:val="ListParagraph"/>
                    <w:numPr>
                      <w:ilvl w:val="0"/>
                      <w:numId w:val="1"/>
                    </w:numPr>
                    <w:spacing w:before="60" w:after="60"/>
                    <w:ind w:left="152" w:hanging="152"/>
                    <w:jc w:val="both"/>
                  </w:pPr>
                  <w:r>
                    <w:t xml:space="preserve">Each meeting to update the mapping of LH interventions vs. SME strategy. </w:t>
                  </w:r>
                </w:p>
                <w:p w14:paraId="0A47488F" w14:textId="6BB75A6E" w:rsidR="00D42784" w:rsidRDefault="00D42784" w:rsidP="00A66F4C">
                  <w:pPr>
                    <w:pStyle w:val="ListParagraph"/>
                    <w:numPr>
                      <w:ilvl w:val="0"/>
                      <w:numId w:val="1"/>
                    </w:numPr>
                    <w:spacing w:before="60" w:after="60"/>
                    <w:ind w:left="152" w:hanging="152"/>
                    <w:jc w:val="both"/>
                  </w:pPr>
                  <w:r>
                    <w:t xml:space="preserve">Update the matrix of BDS modalities every six months. </w:t>
                  </w:r>
                </w:p>
                <w:p w14:paraId="6646C331" w14:textId="77777777" w:rsidR="002A04A6" w:rsidRPr="002A04A6" w:rsidRDefault="00594DC3" w:rsidP="002A04A6">
                  <w:pPr>
                    <w:pStyle w:val="ListParagraph"/>
                    <w:numPr>
                      <w:ilvl w:val="0"/>
                      <w:numId w:val="1"/>
                    </w:numPr>
                    <w:spacing w:before="60" w:after="60"/>
                    <w:ind w:left="154" w:hanging="218"/>
                    <w:jc w:val="both"/>
                  </w:pPr>
                  <w:r>
                    <w:t>Maintain an updated list/database of BDS</w:t>
                  </w:r>
                  <w:r w:rsidR="00D42784">
                    <w:t xml:space="preserve"> service providers (building on the work already conducted by </w:t>
                  </w:r>
                  <w:proofErr w:type="spellStart"/>
                  <w:r w:rsidR="00D42784">
                    <w:t>MoET</w:t>
                  </w:r>
                  <w:proofErr w:type="spellEnd"/>
                  <w:r w:rsidR="00D42784">
                    <w:t xml:space="preserve"> &amp; by the sector through the SME support tracking exercise) and share the related information with partners to enable them to create synergies and strengthen existing linkages with </w:t>
                  </w:r>
                  <w:r w:rsidR="00D42784" w:rsidRPr="002A04A6">
                    <w:t>the private sector.</w:t>
                  </w:r>
                </w:p>
                <w:p w14:paraId="0F54AEF6" w14:textId="4FDED311" w:rsidR="004A2440" w:rsidRPr="002A04A6" w:rsidRDefault="002A04A6" w:rsidP="002A04A6">
                  <w:pPr>
                    <w:pStyle w:val="ListParagraph"/>
                    <w:numPr>
                      <w:ilvl w:val="0"/>
                      <w:numId w:val="1"/>
                    </w:numPr>
                    <w:spacing w:before="60" w:after="60"/>
                    <w:ind w:left="154" w:hanging="218"/>
                    <w:jc w:val="both"/>
                  </w:pPr>
                  <w:r w:rsidRPr="002A0BFB">
                    <w:t xml:space="preserve">Work with </w:t>
                  </w:r>
                  <w:proofErr w:type="spellStart"/>
                  <w:r w:rsidRPr="002A0BFB">
                    <w:t>MoET</w:t>
                  </w:r>
                  <w:proofErr w:type="spellEnd"/>
                  <w:r w:rsidRPr="002A0BFB">
                    <w:t xml:space="preserve"> so that the list of BDS providers issued every year as part of ‘what’s in Lebanon for SMEs’ includes services provided by Ministries. </w:t>
                  </w:r>
                  <w:r w:rsidR="00D42784" w:rsidRPr="002A0BFB">
                    <w:t xml:space="preserve"> </w:t>
                  </w:r>
                </w:p>
              </w:tc>
              <w:tc>
                <w:tcPr>
                  <w:tcW w:w="2860" w:type="dxa"/>
                  <w:shd w:val="clear" w:color="auto" w:fill="DEEAF6" w:themeFill="accent1" w:themeFillTint="33"/>
                </w:tcPr>
                <w:p w14:paraId="3E5446EE" w14:textId="77777777" w:rsidR="00EA0C26" w:rsidRDefault="00D42784" w:rsidP="00A66F4C">
                  <w:pPr>
                    <w:tabs>
                      <w:tab w:val="left" w:pos="13750"/>
                    </w:tabs>
                    <w:spacing w:before="60" w:after="60"/>
                    <w:ind w:right="131"/>
                    <w:jc w:val="both"/>
                  </w:pPr>
                  <w:r>
                    <w:t xml:space="preserve">Sector coordinator to invite all partners who reported under output 1.1, asking them to suggest one key topic for discussion – meeting chaired by </w:t>
                  </w:r>
                  <w:proofErr w:type="spellStart"/>
                  <w:r>
                    <w:t>MoET</w:t>
                  </w:r>
                  <w:proofErr w:type="spellEnd"/>
                  <w:r>
                    <w:t xml:space="preserve"> and </w:t>
                  </w:r>
                  <w:proofErr w:type="spellStart"/>
                  <w:r>
                    <w:t>MoSA</w:t>
                  </w:r>
                  <w:proofErr w:type="spellEnd"/>
                  <w:r>
                    <w:t xml:space="preserve">. </w:t>
                  </w:r>
                </w:p>
                <w:p w14:paraId="3B1E1771" w14:textId="46375527" w:rsidR="00D42784" w:rsidRDefault="00D42784" w:rsidP="00A66F4C">
                  <w:pPr>
                    <w:spacing w:before="60" w:after="60"/>
                    <w:ind w:right="131"/>
                    <w:jc w:val="both"/>
                  </w:pPr>
                  <w:r>
                    <w:t>Outcome of each meeting should be minutes outlining how the iss</w:t>
                  </w:r>
                  <w:r w:rsidR="000D3291">
                    <w:t xml:space="preserve">ue is going to be taken forward – in particular which elements of the SME strategy should be </w:t>
                  </w:r>
                  <w:r w:rsidR="006A291A">
                    <w:t>prioritized</w:t>
                  </w:r>
                  <w:r w:rsidR="000D3291">
                    <w:t xml:space="preserve"> by the sector. </w:t>
                  </w:r>
                </w:p>
                <w:p w14:paraId="3B1EB480" w14:textId="1C81E5A9" w:rsidR="00D42784" w:rsidRPr="003931EB" w:rsidRDefault="00D42784" w:rsidP="00A66F4C">
                  <w:pPr>
                    <w:spacing w:before="60" w:after="60"/>
                    <w:jc w:val="both"/>
                  </w:pPr>
                </w:p>
              </w:tc>
            </w:tr>
            <w:tr w:rsidR="00594DC3" w:rsidRPr="003931EB" w14:paraId="40184DAC" w14:textId="77777777" w:rsidTr="003B112A">
              <w:tc>
                <w:tcPr>
                  <w:tcW w:w="3823" w:type="dxa"/>
                  <w:shd w:val="clear" w:color="auto" w:fill="DEEAF6" w:themeFill="accent1" w:themeFillTint="33"/>
                </w:tcPr>
                <w:p w14:paraId="0036793B" w14:textId="727F69A6" w:rsidR="00594DC3" w:rsidRDefault="00594DC3" w:rsidP="00A66F4C">
                  <w:pPr>
                    <w:spacing w:before="60" w:after="60"/>
                    <w:ind w:left="29"/>
                    <w:jc w:val="both"/>
                    <w:rPr>
                      <w:b/>
                    </w:rPr>
                  </w:pPr>
                  <w:r w:rsidRPr="001B34A8">
                    <w:rPr>
                      <w:b/>
                    </w:rPr>
                    <w:t xml:space="preserve">Skills training: </w:t>
                  </w:r>
                  <w:r w:rsidRPr="007D3011">
                    <w:rPr>
                      <w:b/>
                    </w:rPr>
                    <w:t xml:space="preserve"> </w:t>
                  </w:r>
                  <w:r w:rsidR="000D3291">
                    <w:rPr>
                      <w:b/>
                    </w:rPr>
                    <w:t xml:space="preserve">Support the TVET roadmap process by </w:t>
                  </w:r>
                  <w:r>
                    <w:rPr>
                      <w:b/>
                    </w:rPr>
                    <w:t>establish</w:t>
                  </w:r>
                  <w:r w:rsidR="000D3291">
                    <w:rPr>
                      <w:b/>
                    </w:rPr>
                    <w:t xml:space="preserve">ing </w:t>
                  </w:r>
                  <w:r>
                    <w:rPr>
                      <w:b/>
                    </w:rPr>
                    <w:t xml:space="preserve">a </w:t>
                  </w:r>
                  <w:r w:rsidRPr="007D3011">
                    <w:rPr>
                      <w:b/>
                    </w:rPr>
                    <w:t>dedicated task force</w:t>
                  </w:r>
                  <w:r w:rsidR="000D3291">
                    <w:rPr>
                      <w:b/>
                    </w:rPr>
                    <w:t xml:space="preserve"> on informal skills training</w:t>
                  </w:r>
                  <w:r>
                    <w:rPr>
                      <w:b/>
                    </w:rPr>
                    <w:t xml:space="preserve">. </w:t>
                  </w:r>
                </w:p>
                <w:p w14:paraId="44D581B5" w14:textId="77777777" w:rsidR="00594DC3" w:rsidRDefault="00594DC3" w:rsidP="00A66F4C">
                  <w:pPr>
                    <w:spacing w:before="60" w:after="60"/>
                    <w:ind w:left="29"/>
                    <w:jc w:val="both"/>
                    <w:rPr>
                      <w:b/>
                    </w:rPr>
                  </w:pPr>
                </w:p>
                <w:p w14:paraId="3BAEF14A" w14:textId="4DDDDC37" w:rsidR="00594DC3" w:rsidRDefault="00594DC3" w:rsidP="00A66F4C">
                  <w:pPr>
                    <w:spacing w:before="60" w:after="60"/>
                    <w:ind w:left="29"/>
                    <w:jc w:val="both"/>
                    <w:rPr>
                      <w:b/>
                      <w:bCs/>
                    </w:rPr>
                  </w:pPr>
                  <w:r w:rsidRPr="00EB2502">
                    <w:rPr>
                      <w:b/>
                    </w:rPr>
                    <w:t>Objective</w:t>
                  </w:r>
                  <w:r w:rsidRPr="00EB2502">
                    <w:t xml:space="preserve">: Strengthen quality, criteria of skills training and coordination with the public education system. </w:t>
                  </w:r>
                </w:p>
              </w:tc>
              <w:tc>
                <w:tcPr>
                  <w:tcW w:w="7062" w:type="dxa"/>
                  <w:shd w:val="clear" w:color="auto" w:fill="DEEAF6" w:themeFill="accent1" w:themeFillTint="33"/>
                </w:tcPr>
                <w:p w14:paraId="416B788D" w14:textId="46C1EE1B" w:rsidR="00594DC3" w:rsidRDefault="00594DC3" w:rsidP="00A66F4C">
                  <w:pPr>
                    <w:pStyle w:val="ListParagraph"/>
                    <w:numPr>
                      <w:ilvl w:val="0"/>
                      <w:numId w:val="1"/>
                    </w:numPr>
                    <w:spacing w:before="60" w:after="60"/>
                    <w:ind w:left="152" w:hanging="152"/>
                    <w:jc w:val="both"/>
                  </w:pPr>
                  <w:r>
                    <w:t>S</w:t>
                  </w:r>
                  <w:r w:rsidR="000D3291">
                    <w:t>upport the TVET roadmap process led by MEHE with support from UNICEF and ILO by s</w:t>
                  </w:r>
                  <w:r>
                    <w:t>et</w:t>
                  </w:r>
                  <w:r w:rsidR="000D3291">
                    <w:t>ting</w:t>
                  </w:r>
                  <w:r>
                    <w:t xml:space="preserve"> up a dedicated task force in charge of drafting SOPs/guidelines to harmonize the content &amp; modalities of market-based skills trainings. 5 topics to be covered</w:t>
                  </w:r>
                  <w:r w:rsidDel="007D3011">
                    <w:t>:</w:t>
                  </w:r>
                  <w:r>
                    <w:t xml:space="preserve"> </w:t>
                  </w:r>
                  <w:r w:rsidRPr="005A5E2D">
                    <w:rPr>
                      <w:rFonts w:ascii="Calibri" w:hAnsi="Calibri" w:cs="Calibri"/>
                    </w:rPr>
                    <w:t xml:space="preserve"> 1) Market Analysis and skills gap; 2) Training Modalities; 3) Pathway to employment and entrepreneurship; 4) Link with the government systems &amp; institutions; 5) Monitoring and Evaluation. The task force will support the creation of a</w:t>
                  </w:r>
                  <w:r w:rsidRPr="002830AD">
                    <w:t xml:space="preserve"> platform bringing together the different ministries, agencies and partners working on skills training to coordinate their interventions, increase linkages with private sector and market needs, and provide guidance to partners</w:t>
                  </w:r>
                  <w:r>
                    <w:t xml:space="preserve">. </w:t>
                  </w:r>
                </w:p>
              </w:tc>
              <w:tc>
                <w:tcPr>
                  <w:tcW w:w="2860" w:type="dxa"/>
                  <w:shd w:val="clear" w:color="auto" w:fill="DEEAF6" w:themeFill="accent1" w:themeFillTint="33"/>
                </w:tcPr>
                <w:p w14:paraId="52FC9CCD" w14:textId="6384C3B5" w:rsidR="00594DC3" w:rsidRDefault="000D3291" w:rsidP="00654F46">
                  <w:pPr>
                    <w:spacing w:before="60" w:after="60"/>
                    <w:ind w:right="131"/>
                    <w:jc w:val="both"/>
                  </w:pPr>
                  <w:r>
                    <w:t xml:space="preserve">Process needs to be agreed at DG level between MOSA and MEHE. ILO will take a leading role from the UN side while participation is expected from </w:t>
                  </w:r>
                  <w:proofErr w:type="spellStart"/>
                  <w:r>
                    <w:t>MoET</w:t>
                  </w:r>
                  <w:proofErr w:type="spellEnd"/>
                  <w:r>
                    <w:t xml:space="preserve">, </w:t>
                  </w:r>
                  <w:proofErr w:type="spellStart"/>
                  <w:r>
                    <w:t>MoL</w:t>
                  </w:r>
                  <w:proofErr w:type="spellEnd"/>
                  <w:r>
                    <w:t xml:space="preserve">, </w:t>
                  </w:r>
                  <w:proofErr w:type="spellStart"/>
                  <w:r>
                    <w:t>MoA</w:t>
                  </w:r>
                  <w:proofErr w:type="spellEnd"/>
                  <w:r>
                    <w:t xml:space="preserve">, </w:t>
                  </w:r>
                  <w:proofErr w:type="spellStart"/>
                  <w:r w:rsidR="00654F46">
                    <w:t>MoE</w:t>
                  </w:r>
                  <w:proofErr w:type="spellEnd"/>
                  <w:r w:rsidR="00654F46">
                    <w:t xml:space="preserve"> </w:t>
                  </w:r>
                  <w:r>
                    <w:t xml:space="preserve">as well as key core group members who expressed interest. </w:t>
                  </w:r>
                </w:p>
              </w:tc>
            </w:tr>
            <w:tr w:rsidR="002A04A6" w:rsidRPr="003931EB" w14:paraId="395F0608" w14:textId="77777777" w:rsidTr="003B112A">
              <w:tc>
                <w:tcPr>
                  <w:tcW w:w="3823" w:type="dxa"/>
                  <w:shd w:val="clear" w:color="auto" w:fill="DEEAF6" w:themeFill="accent1" w:themeFillTint="33"/>
                </w:tcPr>
                <w:p w14:paraId="13091966" w14:textId="5A8059BE" w:rsidR="002A04A6" w:rsidRDefault="002A04A6" w:rsidP="002A04A6">
                  <w:pPr>
                    <w:spacing w:before="60" w:after="60"/>
                    <w:ind w:left="29"/>
                    <w:jc w:val="both"/>
                    <w:rPr>
                      <w:b/>
                      <w:bCs/>
                    </w:rPr>
                  </w:pPr>
                  <w:r>
                    <w:rPr>
                      <w:b/>
                      <w:bCs/>
                    </w:rPr>
                    <w:t xml:space="preserve">Maintain strategic dialogue between </w:t>
                  </w:r>
                  <w:r>
                    <w:rPr>
                      <w:b/>
                      <w:bCs/>
                    </w:rPr>
                    <w:lastRenderedPageBreak/>
                    <w:t xml:space="preserve">the livelihoods sector and other job creation initiatives </w:t>
                  </w:r>
                </w:p>
                <w:p w14:paraId="107C093F" w14:textId="2E5A01B4" w:rsidR="002A04A6" w:rsidRPr="001B34A8" w:rsidRDefault="002A04A6" w:rsidP="002A04A6">
                  <w:pPr>
                    <w:spacing w:before="60" w:after="60"/>
                    <w:ind w:left="29"/>
                    <w:jc w:val="both"/>
                    <w:rPr>
                      <w:b/>
                    </w:rPr>
                  </w:pPr>
                  <w:r>
                    <w:rPr>
                      <w:b/>
                      <w:bCs/>
                    </w:rPr>
                    <w:t xml:space="preserve">Objective: </w:t>
                  </w:r>
                  <w:r>
                    <w:rPr>
                      <w:bCs/>
                    </w:rPr>
                    <w:t xml:space="preserve">ensure regular exchanges and input from livelihoods partners into </w:t>
                  </w:r>
                  <w:r w:rsidRPr="00A66F4C">
                    <w:rPr>
                      <w:bCs/>
                    </w:rPr>
                    <w:t>the</w:t>
                  </w:r>
                  <w:r w:rsidR="005138B7">
                    <w:rPr>
                      <w:bCs/>
                    </w:rPr>
                    <w:t>i</w:t>
                  </w:r>
                  <w:r w:rsidRPr="00A66F4C">
                    <w:rPr>
                      <w:bCs/>
                    </w:rPr>
                    <w:t>r support to Lebanon on job creation.</w:t>
                  </w:r>
                  <w:r>
                    <w:rPr>
                      <w:b/>
                      <w:bCs/>
                    </w:rPr>
                    <w:t xml:space="preserve"> </w:t>
                  </w:r>
                </w:p>
              </w:tc>
              <w:tc>
                <w:tcPr>
                  <w:tcW w:w="7062" w:type="dxa"/>
                  <w:shd w:val="clear" w:color="auto" w:fill="DEEAF6" w:themeFill="accent1" w:themeFillTint="33"/>
                </w:tcPr>
                <w:p w14:paraId="34961E04" w14:textId="2534B967" w:rsidR="002A04A6" w:rsidRDefault="002A04A6" w:rsidP="002A04A6">
                  <w:pPr>
                    <w:pStyle w:val="ListParagraph"/>
                    <w:numPr>
                      <w:ilvl w:val="0"/>
                      <w:numId w:val="1"/>
                    </w:numPr>
                    <w:spacing w:before="60" w:after="60"/>
                    <w:ind w:left="152" w:hanging="152"/>
                    <w:jc w:val="both"/>
                  </w:pPr>
                  <w:r>
                    <w:lastRenderedPageBreak/>
                    <w:t xml:space="preserve">Livelihoods steering committee and core group have regular strategic </w:t>
                  </w:r>
                  <w:r>
                    <w:lastRenderedPageBreak/>
                    <w:t>dialogue with other job creation initiatives to ensure (1) coordination of initiatives, (2) protection mainstreaming and (3) exchange of data, information, and lessons learnt.</w:t>
                  </w:r>
                </w:p>
                <w:p w14:paraId="6DDCEE19" w14:textId="6EF32F2A" w:rsidR="002A04A6" w:rsidRDefault="002A04A6" w:rsidP="002A04A6">
                  <w:pPr>
                    <w:pStyle w:val="ListParagraph"/>
                    <w:numPr>
                      <w:ilvl w:val="0"/>
                      <w:numId w:val="1"/>
                    </w:numPr>
                    <w:spacing w:before="60" w:after="60"/>
                    <w:ind w:left="152" w:hanging="152"/>
                    <w:jc w:val="both"/>
                  </w:pPr>
                  <w:r>
                    <w:t xml:space="preserve">Sector </w:t>
                  </w:r>
                  <w:r w:rsidR="00242696">
                    <w:t>co-</w:t>
                  </w:r>
                  <w:r>
                    <w:t>lead</w:t>
                  </w:r>
                  <w:r w:rsidR="00242696">
                    <w:t>s</w:t>
                  </w:r>
                  <w:r>
                    <w:t xml:space="preserve">/coordinator to maintain regular contact with other job-creation initiatives, in particular the World Bank and USAID. </w:t>
                  </w:r>
                </w:p>
                <w:p w14:paraId="4FA73775" w14:textId="02655F37" w:rsidR="002A04A6" w:rsidRDefault="002A04A6" w:rsidP="002A04A6">
                  <w:pPr>
                    <w:pStyle w:val="ListParagraph"/>
                    <w:numPr>
                      <w:ilvl w:val="0"/>
                      <w:numId w:val="1"/>
                    </w:numPr>
                    <w:spacing w:before="60" w:after="60"/>
                    <w:ind w:left="152" w:hanging="152"/>
                    <w:jc w:val="both"/>
                  </w:pPr>
                  <w:r>
                    <w:t xml:space="preserve">Sector </w:t>
                  </w:r>
                  <w:r w:rsidR="00242696">
                    <w:t>co-</w:t>
                  </w:r>
                  <w:r>
                    <w:t>lead</w:t>
                  </w:r>
                  <w:r w:rsidR="00242696">
                    <w:t>s</w:t>
                  </w:r>
                  <w:r>
                    <w:t xml:space="preserve">/coordinator to attend relevant fora such as the LDF sub-group on economic opportunities and jobs or meetings /events organized by USAID partners or the World Bank). </w:t>
                  </w:r>
                </w:p>
                <w:p w14:paraId="5D075F71" w14:textId="77777777" w:rsidR="002A04A6" w:rsidRDefault="002A04A6" w:rsidP="002A04A6">
                  <w:pPr>
                    <w:pStyle w:val="ListParagraph"/>
                    <w:numPr>
                      <w:ilvl w:val="0"/>
                      <w:numId w:val="1"/>
                    </w:numPr>
                    <w:spacing w:before="60" w:after="60"/>
                    <w:ind w:left="152" w:hanging="152"/>
                    <w:jc w:val="both"/>
                  </w:pPr>
                  <w:r>
                    <w:t xml:space="preserve">World Bank/USAID to present/share relevant information on job creation </w:t>
                  </w:r>
                  <w:proofErr w:type="spellStart"/>
                  <w:r>
                    <w:t>programme</w:t>
                  </w:r>
                  <w:proofErr w:type="spellEnd"/>
                  <w:r>
                    <w:t xml:space="preserve"> with core group or working group. </w:t>
                  </w:r>
                </w:p>
                <w:p w14:paraId="017B610D" w14:textId="43B9063C" w:rsidR="002A04A6" w:rsidRDefault="002A04A6" w:rsidP="002A04A6">
                  <w:pPr>
                    <w:pStyle w:val="ListParagraph"/>
                    <w:numPr>
                      <w:ilvl w:val="0"/>
                      <w:numId w:val="1"/>
                    </w:numPr>
                    <w:spacing w:before="60" w:after="60"/>
                    <w:ind w:left="152" w:hanging="152"/>
                    <w:jc w:val="both"/>
                  </w:pPr>
                  <w:r>
                    <w:t xml:space="preserve">FSS and Livelihoods leads to meet </w:t>
                  </w:r>
                  <w:r w:rsidR="006A291A">
                    <w:t>on a</w:t>
                  </w:r>
                  <w:r>
                    <w:t xml:space="preserve"> bi-monthly </w:t>
                  </w:r>
                  <w:r w:rsidR="006A291A">
                    <w:t>basis to</w:t>
                  </w:r>
                  <w:r w:rsidR="002340D8">
                    <w:rPr>
                      <w:rFonts w:eastAsia="Calibri,Arial" w:cs="Calibri,Arial"/>
                      <w:color w:val="000000"/>
                      <w:lang w:val="en-GB"/>
                    </w:rPr>
                    <w:t xml:space="preserve"> ensure that information on agriculture livelihoods activities and agricultural value chains is adequately and proactively shared and reported in both sectors</w:t>
                  </w:r>
                </w:p>
              </w:tc>
              <w:tc>
                <w:tcPr>
                  <w:tcW w:w="2860" w:type="dxa"/>
                  <w:shd w:val="clear" w:color="auto" w:fill="DEEAF6" w:themeFill="accent1" w:themeFillTint="33"/>
                </w:tcPr>
                <w:p w14:paraId="1DBCC2DB" w14:textId="4ADA77CC" w:rsidR="002A04A6" w:rsidRDefault="00594207" w:rsidP="002A04A6">
                  <w:pPr>
                    <w:spacing w:before="60" w:after="60"/>
                    <w:ind w:right="131"/>
                    <w:jc w:val="both"/>
                  </w:pPr>
                  <w:r>
                    <w:lastRenderedPageBreak/>
                    <w:t xml:space="preserve">Core </w:t>
                  </w:r>
                  <w:r w:rsidR="002A04A6">
                    <w:t xml:space="preserve">Group/steering </w:t>
                  </w:r>
                  <w:r w:rsidR="002A04A6">
                    <w:lastRenderedPageBreak/>
                    <w:t xml:space="preserve">committee to have regular joint meetings with other initiatives (STEP, USAID, World Bank). </w:t>
                  </w:r>
                </w:p>
                <w:p w14:paraId="7546D4CF" w14:textId="06026553" w:rsidR="002A04A6" w:rsidRDefault="002A04A6" w:rsidP="002A04A6">
                  <w:pPr>
                    <w:spacing w:before="60" w:after="60"/>
                    <w:ind w:right="131"/>
                    <w:jc w:val="both"/>
                  </w:pPr>
                  <w:r>
                    <w:t xml:space="preserve">Sector </w:t>
                  </w:r>
                  <w:r w:rsidR="00242696">
                    <w:t>co-</w:t>
                  </w:r>
                  <w:r>
                    <w:t xml:space="preserve">lead and coordinator to ensure regular liaison. </w:t>
                  </w:r>
                </w:p>
              </w:tc>
            </w:tr>
            <w:tr w:rsidR="002A04A6" w:rsidRPr="003931EB" w14:paraId="3B4931E4" w14:textId="77777777" w:rsidTr="003B112A">
              <w:tc>
                <w:tcPr>
                  <w:tcW w:w="3823" w:type="dxa"/>
                  <w:shd w:val="clear" w:color="auto" w:fill="DEEAF6" w:themeFill="accent1" w:themeFillTint="33"/>
                </w:tcPr>
                <w:p w14:paraId="7749D922" w14:textId="6D8C0447" w:rsidR="002A04A6" w:rsidRDefault="002A04A6" w:rsidP="002A04A6">
                  <w:pPr>
                    <w:spacing w:before="60" w:after="60"/>
                    <w:ind w:left="12"/>
                    <w:jc w:val="both"/>
                    <w:rPr>
                      <w:b/>
                    </w:rPr>
                  </w:pPr>
                </w:p>
                <w:p w14:paraId="6B46515C" w14:textId="7224514B" w:rsidR="002A04A6" w:rsidRPr="001E74AA" w:rsidRDefault="002A04A6" w:rsidP="002A04A6">
                  <w:pPr>
                    <w:spacing w:before="60" w:after="60"/>
                    <w:ind w:left="12"/>
                    <w:jc w:val="both"/>
                    <w:rPr>
                      <w:b/>
                    </w:rPr>
                  </w:pPr>
                  <w:r>
                    <w:rPr>
                      <w:b/>
                    </w:rPr>
                    <w:t>S</w:t>
                  </w:r>
                  <w:r w:rsidRPr="001E74AA">
                    <w:rPr>
                      <w:b/>
                    </w:rPr>
                    <w:t xml:space="preserve">et up a </w:t>
                  </w:r>
                  <w:r>
                    <w:rPr>
                      <w:b/>
                    </w:rPr>
                    <w:t xml:space="preserve">dialogue </w:t>
                  </w:r>
                  <w:r w:rsidRPr="001E74AA">
                    <w:rPr>
                      <w:b/>
                    </w:rPr>
                    <w:t xml:space="preserve">platform bringing sector partners, private sector representatives and government.  </w:t>
                  </w:r>
                </w:p>
                <w:p w14:paraId="03AC2313" w14:textId="77777777" w:rsidR="002A04A6" w:rsidRDefault="002A04A6" w:rsidP="002A04A6">
                  <w:pPr>
                    <w:spacing w:before="60" w:after="60"/>
                    <w:jc w:val="both"/>
                  </w:pPr>
                </w:p>
                <w:p w14:paraId="7DCA3716" w14:textId="5FAAE449" w:rsidR="002A04A6" w:rsidRDefault="002A04A6" w:rsidP="002A04A6">
                  <w:pPr>
                    <w:spacing w:before="60" w:after="60"/>
                    <w:jc w:val="both"/>
                  </w:pPr>
                  <w:r w:rsidRPr="00EB2502">
                    <w:rPr>
                      <w:b/>
                    </w:rPr>
                    <w:t>Objective:</w:t>
                  </w:r>
                  <w:r>
                    <w:rPr>
                      <w:b/>
                    </w:rPr>
                    <w:t xml:space="preserve"> </w:t>
                  </w:r>
                  <w:r>
                    <w:t xml:space="preserve">Strengthen involvement of private sector in the sector and </w:t>
                  </w:r>
                </w:p>
                <w:p w14:paraId="76039478" w14:textId="24A12F30" w:rsidR="002A04A6" w:rsidRPr="00594DC3" w:rsidRDefault="002A04A6" w:rsidP="002A04A6">
                  <w:pPr>
                    <w:pStyle w:val="ListParagraph"/>
                    <w:spacing w:before="60" w:after="60"/>
                    <w:ind w:left="360"/>
                    <w:jc w:val="both"/>
                    <w:rPr>
                      <w:b/>
                      <w:bCs/>
                    </w:rPr>
                  </w:pPr>
                </w:p>
              </w:tc>
              <w:tc>
                <w:tcPr>
                  <w:tcW w:w="7062" w:type="dxa"/>
                  <w:shd w:val="clear" w:color="auto" w:fill="DEEAF6" w:themeFill="accent1" w:themeFillTint="33"/>
                </w:tcPr>
                <w:p w14:paraId="671BEE14" w14:textId="77777777" w:rsidR="002A04A6" w:rsidRDefault="002A04A6" w:rsidP="002A04A6">
                  <w:pPr>
                    <w:pStyle w:val="ListParagraph"/>
                    <w:spacing w:before="60" w:after="60"/>
                    <w:ind w:left="154"/>
                    <w:jc w:val="both"/>
                  </w:pPr>
                </w:p>
                <w:p w14:paraId="6F10F19B" w14:textId="22181F9F" w:rsidR="002A04A6" w:rsidRDefault="002A04A6" w:rsidP="002A04A6">
                  <w:pPr>
                    <w:pStyle w:val="ListParagraph"/>
                    <w:numPr>
                      <w:ilvl w:val="0"/>
                      <w:numId w:val="1"/>
                    </w:numPr>
                    <w:spacing w:before="60" w:after="60"/>
                    <w:ind w:left="154" w:hanging="142"/>
                    <w:jc w:val="both"/>
                  </w:pPr>
                  <w:r>
                    <w:t>Following up on the internal workshop on private sector engagement done last year and on the decent work workshop, hold a first meeting/ workshop between private sector entities already collaborating in the sector</w:t>
                  </w:r>
                  <w:r w:rsidRPr="005719ED">
                    <w:t xml:space="preserve"> </w:t>
                  </w:r>
                  <w:r>
                    <w:t xml:space="preserve">to identify how to increase our collaboration with the private sector on social entrepreneurship and corporate social responsibility. The workshop should include specific discussions on how to link bigger and smaller businesses, notably to promote social entrepreneurship and corporate social responsibilities among smaller businesses. </w:t>
                  </w:r>
                </w:p>
                <w:p w14:paraId="47D9B2FB" w14:textId="77777777" w:rsidR="002A04A6" w:rsidRDefault="002A04A6" w:rsidP="002A04A6">
                  <w:pPr>
                    <w:pStyle w:val="ListParagraph"/>
                    <w:numPr>
                      <w:ilvl w:val="0"/>
                      <w:numId w:val="1"/>
                    </w:numPr>
                    <w:spacing w:before="60" w:after="60"/>
                    <w:ind w:left="154" w:hanging="142"/>
                    <w:jc w:val="both"/>
                  </w:pPr>
                  <w:r>
                    <w:t>Regular participation and presentations of the private sector at field and national working group meetings.</w:t>
                  </w:r>
                </w:p>
                <w:p w14:paraId="0B4820DE" w14:textId="77777777" w:rsidR="002A04A6" w:rsidRDefault="002A04A6" w:rsidP="002A04A6">
                  <w:pPr>
                    <w:pStyle w:val="ListParagraph"/>
                    <w:numPr>
                      <w:ilvl w:val="0"/>
                      <w:numId w:val="1"/>
                    </w:numPr>
                    <w:spacing w:before="60" w:after="60"/>
                    <w:ind w:left="152" w:hanging="152"/>
                    <w:jc w:val="both"/>
                  </w:pPr>
                  <w:r>
                    <w:t xml:space="preserve">Identification by </w:t>
                  </w:r>
                  <w:proofErr w:type="spellStart"/>
                  <w:r>
                    <w:t>MoET</w:t>
                  </w:r>
                  <w:proofErr w:type="spellEnd"/>
                  <w:r>
                    <w:t xml:space="preserve"> of a private sector representative to attend steering committee meetings.</w:t>
                  </w:r>
                </w:p>
                <w:p w14:paraId="0263AC8B" w14:textId="05B4334F" w:rsidR="002A04A6" w:rsidRDefault="002A04A6" w:rsidP="002A04A6">
                  <w:pPr>
                    <w:pStyle w:val="ListParagraph"/>
                    <w:spacing w:before="60" w:after="60"/>
                    <w:ind w:left="152"/>
                    <w:jc w:val="both"/>
                  </w:pPr>
                </w:p>
              </w:tc>
              <w:tc>
                <w:tcPr>
                  <w:tcW w:w="2860" w:type="dxa"/>
                  <w:shd w:val="clear" w:color="auto" w:fill="DEEAF6" w:themeFill="accent1" w:themeFillTint="33"/>
                </w:tcPr>
                <w:p w14:paraId="35895181" w14:textId="77777777" w:rsidR="002A04A6" w:rsidRDefault="002A04A6" w:rsidP="002A04A6">
                  <w:pPr>
                    <w:ind w:right="131"/>
                    <w:jc w:val="both"/>
                  </w:pPr>
                </w:p>
                <w:p w14:paraId="6D21154B" w14:textId="6C501C9E" w:rsidR="002A04A6" w:rsidRDefault="002A04A6" w:rsidP="002A04A6">
                  <w:pPr>
                    <w:ind w:right="131"/>
                    <w:jc w:val="both"/>
                  </w:pPr>
                  <w:proofErr w:type="spellStart"/>
                  <w:r>
                    <w:t>MoSA</w:t>
                  </w:r>
                  <w:proofErr w:type="spellEnd"/>
                  <w:r>
                    <w:t xml:space="preserve"> sector leads, MOET, partners and their private sector counterparts</w:t>
                  </w:r>
                </w:p>
                <w:p w14:paraId="512D0244" w14:textId="77777777" w:rsidR="002A04A6" w:rsidRDefault="002A04A6" w:rsidP="002A04A6">
                  <w:pPr>
                    <w:jc w:val="both"/>
                  </w:pPr>
                </w:p>
                <w:p w14:paraId="18BC2BAD" w14:textId="77777777" w:rsidR="002A04A6" w:rsidRDefault="002A04A6" w:rsidP="002A04A6">
                  <w:pPr>
                    <w:jc w:val="both"/>
                  </w:pPr>
                </w:p>
                <w:p w14:paraId="46BCD480" w14:textId="5866C871" w:rsidR="002A04A6" w:rsidRDefault="002A04A6" w:rsidP="002A04A6">
                  <w:pPr>
                    <w:jc w:val="both"/>
                  </w:pPr>
                  <w:r>
                    <w:t xml:space="preserve">Sector coordinator </w:t>
                  </w:r>
                </w:p>
                <w:p w14:paraId="55311E9F" w14:textId="77777777" w:rsidR="002A04A6" w:rsidRDefault="002A04A6" w:rsidP="002A04A6">
                  <w:pPr>
                    <w:jc w:val="both"/>
                  </w:pPr>
                </w:p>
                <w:p w14:paraId="587097B8" w14:textId="642B1F91" w:rsidR="002A04A6" w:rsidRPr="003931EB" w:rsidRDefault="002A04A6" w:rsidP="002A04A6">
                  <w:pPr>
                    <w:jc w:val="both"/>
                  </w:pPr>
                  <w:proofErr w:type="spellStart"/>
                  <w:r>
                    <w:t>MoET</w:t>
                  </w:r>
                  <w:proofErr w:type="spellEnd"/>
                </w:p>
                <w:p w14:paraId="44DF082B" w14:textId="77777777" w:rsidR="002A04A6" w:rsidRDefault="002A04A6" w:rsidP="002A04A6">
                  <w:pPr>
                    <w:spacing w:before="60" w:after="60"/>
                    <w:jc w:val="both"/>
                  </w:pPr>
                </w:p>
              </w:tc>
            </w:tr>
            <w:tr w:rsidR="002A04A6" w:rsidRPr="003931EB" w14:paraId="54F03E84" w14:textId="77777777" w:rsidTr="003B112A">
              <w:tc>
                <w:tcPr>
                  <w:tcW w:w="13745" w:type="dxa"/>
                  <w:gridSpan w:val="3"/>
                  <w:shd w:val="clear" w:color="auto" w:fill="DEEAF6" w:themeFill="accent1" w:themeFillTint="33"/>
                </w:tcPr>
                <w:p w14:paraId="2C76643D" w14:textId="30679967" w:rsidR="002A04A6" w:rsidRPr="00A66F4C" w:rsidRDefault="002A04A6" w:rsidP="002A04A6">
                  <w:pPr>
                    <w:spacing w:before="240" w:after="240"/>
                    <w:jc w:val="both"/>
                    <w:rPr>
                      <w:b/>
                      <w:bCs/>
                      <w:sz w:val="28"/>
                      <w:szCs w:val="28"/>
                    </w:rPr>
                  </w:pPr>
                  <w:r w:rsidRPr="00A66F4C">
                    <w:rPr>
                      <w:b/>
                      <w:bCs/>
                      <w:sz w:val="28"/>
                      <w:szCs w:val="28"/>
                    </w:rPr>
                    <w:t xml:space="preserve">Other thematic topics </w:t>
                  </w:r>
                  <w:r>
                    <w:rPr>
                      <w:b/>
                      <w:bCs/>
                      <w:sz w:val="28"/>
                      <w:szCs w:val="28"/>
                    </w:rPr>
                    <w:t xml:space="preserve">and programming areas </w:t>
                  </w:r>
                  <w:r w:rsidRPr="00A66F4C">
                    <w:rPr>
                      <w:b/>
                      <w:bCs/>
                      <w:sz w:val="28"/>
                      <w:szCs w:val="28"/>
                    </w:rPr>
                    <w:t xml:space="preserve">to be addressed throughout the year. </w:t>
                  </w:r>
                </w:p>
              </w:tc>
            </w:tr>
            <w:tr w:rsidR="002A04A6" w:rsidRPr="003931EB" w14:paraId="12820AB8" w14:textId="77777777" w:rsidTr="00A66F4C">
              <w:trPr>
                <w:trHeight w:val="1645"/>
              </w:trPr>
              <w:tc>
                <w:tcPr>
                  <w:tcW w:w="3823" w:type="dxa"/>
                  <w:shd w:val="clear" w:color="auto" w:fill="DEEAF6" w:themeFill="accent1" w:themeFillTint="33"/>
                </w:tcPr>
                <w:p w14:paraId="370D6CCF" w14:textId="77777777" w:rsidR="002A04A6" w:rsidRDefault="002A04A6" w:rsidP="002A04A6">
                  <w:pPr>
                    <w:spacing w:before="60" w:after="60"/>
                    <w:ind w:left="29"/>
                    <w:jc w:val="both"/>
                    <w:rPr>
                      <w:b/>
                      <w:bCs/>
                    </w:rPr>
                  </w:pPr>
                  <w:r>
                    <w:rPr>
                      <w:b/>
                      <w:bCs/>
                    </w:rPr>
                    <w:lastRenderedPageBreak/>
                    <w:t>Decent Work</w:t>
                  </w:r>
                </w:p>
                <w:p w14:paraId="19142010" w14:textId="77777777" w:rsidR="002A04A6" w:rsidRDefault="002A04A6" w:rsidP="002A04A6">
                  <w:pPr>
                    <w:spacing w:before="60" w:after="60"/>
                    <w:ind w:left="29"/>
                    <w:jc w:val="both"/>
                    <w:rPr>
                      <w:b/>
                      <w:bCs/>
                    </w:rPr>
                  </w:pPr>
                </w:p>
                <w:p w14:paraId="43ACA7C7" w14:textId="2F621692" w:rsidR="002A04A6" w:rsidRPr="00605D51" w:rsidRDefault="002A04A6" w:rsidP="002A04A6">
                  <w:pPr>
                    <w:spacing w:before="60" w:after="60"/>
                    <w:ind w:left="29"/>
                    <w:jc w:val="both"/>
                    <w:rPr>
                      <w:bCs/>
                    </w:rPr>
                  </w:pPr>
                  <w:r>
                    <w:rPr>
                      <w:b/>
                      <w:bCs/>
                    </w:rPr>
                    <w:t xml:space="preserve">Objective: </w:t>
                  </w:r>
                  <w:r>
                    <w:rPr>
                      <w:bCs/>
                    </w:rPr>
                    <w:t xml:space="preserve">Provide livelihoods partners with the necessary information, linkages and skills to integrate decent work considerations in livelihoods programming. </w:t>
                  </w:r>
                </w:p>
              </w:tc>
              <w:tc>
                <w:tcPr>
                  <w:tcW w:w="7062" w:type="dxa"/>
                </w:tcPr>
                <w:p w14:paraId="01C9078A" w14:textId="2572EF4D" w:rsidR="002A04A6" w:rsidRDefault="002A04A6" w:rsidP="002A04A6">
                  <w:pPr>
                    <w:pStyle w:val="ListParagraph"/>
                    <w:numPr>
                      <w:ilvl w:val="0"/>
                      <w:numId w:val="1"/>
                    </w:numPr>
                    <w:spacing w:before="60" w:after="60"/>
                    <w:ind w:left="142" w:hanging="142"/>
                  </w:pPr>
                  <w:r>
                    <w:t>Hold a workshop on decent work</w:t>
                  </w:r>
                  <w:r w:rsidR="00242696">
                    <w:t>ing</w:t>
                  </w:r>
                  <w:r>
                    <w:t xml:space="preserve"> conditions with key ministries and private sector representatives </w:t>
                  </w:r>
                  <w:r w:rsidR="006A291A">
                    <w:t xml:space="preserve">to </w:t>
                  </w:r>
                  <w:r w:rsidR="006A291A" w:rsidRPr="00FC4AE2">
                    <w:t>formulate</w:t>
                  </w:r>
                  <w:r w:rsidRPr="00FC4AE2">
                    <w:t xml:space="preserve"> guidelines consolidating how to further promote decent work</w:t>
                  </w:r>
                  <w:r w:rsidR="00474548">
                    <w:t>ing</w:t>
                  </w:r>
                  <w:r w:rsidRPr="00FC4AE2">
                    <w:t xml:space="preserve"> conditions and rights through livelihoods programming.</w:t>
                  </w:r>
                  <w:r>
                    <w:t xml:space="preserve"> </w:t>
                  </w:r>
                </w:p>
                <w:p w14:paraId="422B0BFB" w14:textId="6B04477E" w:rsidR="002A04A6" w:rsidRPr="00A66F4C" w:rsidRDefault="002A04A6" w:rsidP="002A04A6">
                  <w:pPr>
                    <w:pStyle w:val="ListParagraph"/>
                    <w:numPr>
                      <w:ilvl w:val="0"/>
                      <w:numId w:val="1"/>
                    </w:numPr>
                    <w:spacing w:before="60" w:after="60"/>
                    <w:ind w:left="142" w:hanging="142"/>
                  </w:pPr>
                  <w:r w:rsidRPr="00A66F4C">
                    <w:t xml:space="preserve">Organize further trainings on decent work and livelihoods programming or dedicated meeting (with </w:t>
                  </w:r>
                  <w:proofErr w:type="spellStart"/>
                  <w:r w:rsidRPr="00A66F4C">
                    <w:t>MoL</w:t>
                  </w:r>
                  <w:proofErr w:type="spellEnd"/>
                  <w:r w:rsidRPr="00A66F4C">
                    <w:t xml:space="preserve">, </w:t>
                  </w:r>
                  <w:proofErr w:type="spellStart"/>
                  <w:r w:rsidRPr="00A66F4C">
                    <w:t>MoL</w:t>
                  </w:r>
                  <w:proofErr w:type="spellEnd"/>
                  <w:r w:rsidRPr="00A66F4C">
                    <w:t xml:space="preserve"> Child </w:t>
                  </w:r>
                  <w:proofErr w:type="spellStart"/>
                  <w:r w:rsidRPr="00A66F4C">
                    <w:t>Labour</w:t>
                  </w:r>
                  <w:proofErr w:type="spellEnd"/>
                  <w:r w:rsidRPr="00A66F4C">
                    <w:t xml:space="preserve"> Unit)</w:t>
                  </w:r>
                  <w:r>
                    <w:t xml:space="preserve"> if necessary</w:t>
                  </w:r>
                </w:p>
                <w:p w14:paraId="51AD61FF" w14:textId="71476850" w:rsidR="002A04A6" w:rsidRDefault="002A04A6" w:rsidP="002A04A6">
                  <w:pPr>
                    <w:pStyle w:val="ListParagraph"/>
                    <w:spacing w:before="60" w:after="60"/>
                    <w:ind w:left="142"/>
                    <w:jc w:val="both"/>
                  </w:pPr>
                </w:p>
              </w:tc>
              <w:tc>
                <w:tcPr>
                  <w:tcW w:w="2860" w:type="dxa"/>
                  <w:shd w:val="clear" w:color="auto" w:fill="DEEAF6" w:themeFill="accent1" w:themeFillTint="33"/>
                </w:tcPr>
                <w:p w14:paraId="03955246" w14:textId="1774BCDE" w:rsidR="002A04A6" w:rsidRDefault="002A04A6" w:rsidP="002A04A6">
                  <w:pPr>
                    <w:spacing w:before="60" w:after="60"/>
                    <w:jc w:val="both"/>
                  </w:pPr>
                  <w:r>
                    <w:t xml:space="preserve">LEADERS Consortium and Sector coordinator/lead, livelihoods partners. </w:t>
                  </w:r>
                </w:p>
              </w:tc>
            </w:tr>
            <w:tr w:rsidR="002A04A6" w:rsidRPr="003931EB" w14:paraId="3BE0E728" w14:textId="77777777" w:rsidTr="003B112A">
              <w:tc>
                <w:tcPr>
                  <w:tcW w:w="3823" w:type="dxa"/>
                  <w:shd w:val="clear" w:color="auto" w:fill="DEEAF6" w:themeFill="accent1" w:themeFillTint="33"/>
                </w:tcPr>
                <w:p w14:paraId="36CB13AF" w14:textId="77777777" w:rsidR="002A04A6" w:rsidRDefault="002A04A6" w:rsidP="002A04A6">
                  <w:pPr>
                    <w:spacing w:before="60" w:after="60"/>
                    <w:ind w:left="29"/>
                    <w:jc w:val="both"/>
                    <w:rPr>
                      <w:b/>
                      <w:bCs/>
                    </w:rPr>
                  </w:pPr>
                  <w:r>
                    <w:rPr>
                      <w:b/>
                      <w:bCs/>
                    </w:rPr>
                    <w:t>Value Chains</w:t>
                  </w:r>
                </w:p>
                <w:p w14:paraId="27BEFFBC" w14:textId="77777777" w:rsidR="002A04A6" w:rsidRDefault="002A04A6" w:rsidP="002A04A6">
                  <w:pPr>
                    <w:spacing w:before="60" w:after="60"/>
                    <w:ind w:left="29"/>
                    <w:jc w:val="both"/>
                    <w:rPr>
                      <w:b/>
                      <w:bCs/>
                    </w:rPr>
                  </w:pPr>
                </w:p>
                <w:p w14:paraId="649E126D" w14:textId="0C3A63A5" w:rsidR="002A04A6" w:rsidRPr="00605D51" w:rsidRDefault="002A04A6" w:rsidP="002A04A6">
                  <w:pPr>
                    <w:spacing w:before="60" w:after="60"/>
                    <w:ind w:left="29"/>
                    <w:jc w:val="both"/>
                    <w:rPr>
                      <w:bCs/>
                    </w:rPr>
                  </w:pPr>
                  <w:r>
                    <w:rPr>
                      <w:b/>
                      <w:bCs/>
                    </w:rPr>
                    <w:t xml:space="preserve">Objective: </w:t>
                  </w:r>
                  <w:r>
                    <w:rPr>
                      <w:bCs/>
                    </w:rPr>
                    <w:t xml:space="preserve">Enhance coordination between value chain partners, as value chain programming are typically long term and require both collaboration and proactive information sharing. </w:t>
                  </w:r>
                </w:p>
              </w:tc>
              <w:tc>
                <w:tcPr>
                  <w:tcW w:w="7062" w:type="dxa"/>
                  <w:shd w:val="clear" w:color="auto" w:fill="DEEAF6" w:themeFill="accent1" w:themeFillTint="33"/>
                </w:tcPr>
                <w:p w14:paraId="5564ECE3" w14:textId="77777777" w:rsidR="002A04A6" w:rsidRDefault="002A04A6" w:rsidP="002A04A6">
                  <w:pPr>
                    <w:pStyle w:val="ListParagraph"/>
                    <w:numPr>
                      <w:ilvl w:val="0"/>
                      <w:numId w:val="1"/>
                    </w:numPr>
                    <w:spacing w:before="60" w:after="60"/>
                    <w:ind w:left="152" w:hanging="152"/>
                    <w:jc w:val="both"/>
                  </w:pPr>
                  <w:r>
                    <w:t xml:space="preserve">Organize ad hoc meetings between value chain </w:t>
                  </w:r>
                  <w:proofErr w:type="spellStart"/>
                  <w:r>
                    <w:t>practioners</w:t>
                  </w:r>
                  <w:proofErr w:type="spellEnd"/>
                  <w:r>
                    <w:t xml:space="preserve"> (including other sectors and non-LCRP partners) to exchange information and take stock of the advancement of value chain </w:t>
                  </w:r>
                  <w:proofErr w:type="spellStart"/>
                  <w:r>
                    <w:t>programmes</w:t>
                  </w:r>
                  <w:proofErr w:type="spellEnd"/>
                  <w:r>
                    <w:t xml:space="preserve">, and foster collaboration between partners </w:t>
                  </w:r>
                </w:p>
                <w:p w14:paraId="1BE09C1B" w14:textId="7915F068" w:rsidR="002A04A6" w:rsidRDefault="002A04A6" w:rsidP="002A04A6">
                  <w:pPr>
                    <w:pStyle w:val="ListParagraph"/>
                    <w:numPr>
                      <w:ilvl w:val="1"/>
                      <w:numId w:val="1"/>
                    </w:numPr>
                    <w:spacing w:before="60" w:after="60"/>
                    <w:ind w:left="567"/>
                    <w:jc w:val="both"/>
                  </w:pPr>
                  <w:r>
                    <w:t xml:space="preserve">Exchange of information on value chain </w:t>
                  </w:r>
                  <w:proofErr w:type="spellStart"/>
                  <w:r>
                    <w:t>programmmes</w:t>
                  </w:r>
                  <w:proofErr w:type="spellEnd"/>
                  <w:r>
                    <w:t xml:space="preserve"> being developed/initiated to avoid overlap. </w:t>
                  </w:r>
                </w:p>
                <w:p w14:paraId="12D170E8" w14:textId="77777777" w:rsidR="002A04A6" w:rsidRDefault="002A04A6" w:rsidP="002A04A6">
                  <w:pPr>
                    <w:pStyle w:val="ListParagraph"/>
                    <w:numPr>
                      <w:ilvl w:val="1"/>
                      <w:numId w:val="1"/>
                    </w:numPr>
                    <w:spacing w:before="60" w:after="60"/>
                    <w:ind w:left="567"/>
                    <w:jc w:val="both"/>
                  </w:pPr>
                  <w:proofErr w:type="gramStart"/>
                  <w:r>
                    <w:t>technical</w:t>
                  </w:r>
                  <w:proofErr w:type="gramEnd"/>
                  <w:r>
                    <w:t xml:space="preserve"> discussion for partners working on the same value chain in different areas. </w:t>
                  </w:r>
                </w:p>
                <w:p w14:paraId="1F35DAC8" w14:textId="5A897445" w:rsidR="002A04A6" w:rsidRDefault="002A04A6" w:rsidP="002A04A6">
                  <w:pPr>
                    <w:pStyle w:val="ListParagraph"/>
                    <w:numPr>
                      <w:ilvl w:val="1"/>
                      <w:numId w:val="1"/>
                    </w:numPr>
                    <w:spacing w:before="60" w:after="60"/>
                    <w:ind w:left="567"/>
                    <w:jc w:val="both"/>
                  </w:pPr>
                  <w:r>
                    <w:t>Partners taking over/following up on value chains that other partners/</w:t>
                  </w:r>
                  <w:proofErr w:type="spellStart"/>
                  <w:r>
                    <w:t>programmes</w:t>
                  </w:r>
                  <w:proofErr w:type="spellEnd"/>
                  <w:r>
                    <w:t xml:space="preserve"> started to valorize. </w:t>
                  </w:r>
                </w:p>
              </w:tc>
              <w:tc>
                <w:tcPr>
                  <w:tcW w:w="2860" w:type="dxa"/>
                  <w:shd w:val="clear" w:color="auto" w:fill="DEEAF6" w:themeFill="accent1" w:themeFillTint="33"/>
                </w:tcPr>
                <w:p w14:paraId="7016F5CF" w14:textId="7F8EB3FD" w:rsidR="002A04A6" w:rsidRDefault="002A04A6" w:rsidP="002A04A6">
                  <w:pPr>
                    <w:spacing w:before="60" w:after="60"/>
                    <w:jc w:val="both"/>
                  </w:pPr>
                  <w:r>
                    <w:t xml:space="preserve">MOSA, </w:t>
                  </w:r>
                  <w:proofErr w:type="spellStart"/>
                  <w:r>
                    <w:t>MoET</w:t>
                  </w:r>
                  <w:proofErr w:type="spellEnd"/>
                  <w:r>
                    <w:t xml:space="preserve">, </w:t>
                  </w:r>
                  <w:proofErr w:type="spellStart"/>
                  <w:r>
                    <w:t>MoAg</w:t>
                  </w:r>
                  <w:proofErr w:type="spellEnd"/>
                  <w:r>
                    <w:t xml:space="preserve"> and sector coordinators to bring together VC partners (twice a year). </w:t>
                  </w:r>
                </w:p>
              </w:tc>
            </w:tr>
            <w:tr w:rsidR="002A04A6" w:rsidRPr="003931EB" w14:paraId="1883301A" w14:textId="77777777" w:rsidTr="003B112A">
              <w:trPr>
                <w:trHeight w:val="297"/>
              </w:trPr>
              <w:tc>
                <w:tcPr>
                  <w:tcW w:w="13745" w:type="dxa"/>
                  <w:gridSpan w:val="3"/>
                  <w:shd w:val="clear" w:color="auto" w:fill="DEEAF6" w:themeFill="accent1" w:themeFillTint="33"/>
                </w:tcPr>
                <w:p w14:paraId="585E6949" w14:textId="38F9FA60" w:rsidR="002A04A6" w:rsidRDefault="002A04A6" w:rsidP="002A04A6">
                  <w:pPr>
                    <w:spacing w:before="60" w:after="60"/>
                    <w:jc w:val="both"/>
                    <w:rPr>
                      <w:b/>
                      <w:bCs/>
                      <w:sz w:val="28"/>
                      <w:szCs w:val="28"/>
                    </w:rPr>
                  </w:pPr>
                  <w:r>
                    <w:rPr>
                      <w:b/>
                      <w:bCs/>
                      <w:sz w:val="28"/>
                      <w:szCs w:val="28"/>
                    </w:rPr>
                    <w:t xml:space="preserve">Specific </w:t>
                  </w:r>
                  <w:r w:rsidRPr="00A66F4C">
                    <w:rPr>
                      <w:b/>
                      <w:bCs/>
                      <w:sz w:val="28"/>
                      <w:szCs w:val="28"/>
                    </w:rPr>
                    <w:t xml:space="preserve">Coordination </w:t>
                  </w:r>
                  <w:r>
                    <w:rPr>
                      <w:b/>
                      <w:bCs/>
                      <w:sz w:val="28"/>
                      <w:szCs w:val="28"/>
                    </w:rPr>
                    <w:t>tasks to support partners programming</w:t>
                  </w:r>
                </w:p>
                <w:p w14:paraId="5582DDC8" w14:textId="266C7EF0" w:rsidR="002A04A6" w:rsidRPr="00A66F4C" w:rsidRDefault="002A04A6" w:rsidP="002A04A6">
                  <w:pPr>
                    <w:spacing w:before="60" w:after="60"/>
                    <w:jc w:val="both"/>
                  </w:pPr>
                  <w:r>
                    <w:t>(</w:t>
                  </w:r>
                  <w:proofErr w:type="gramStart"/>
                  <w:r>
                    <w:t>in</w:t>
                  </w:r>
                  <w:proofErr w:type="gramEnd"/>
                  <w:r>
                    <w:t xml:space="preserve"> addition to regular coordination duties – </w:t>
                  </w:r>
                  <w:proofErr w:type="spellStart"/>
                  <w:r>
                    <w:t>i.e</w:t>
                  </w:r>
                  <w:proofErr w:type="spellEnd"/>
                  <w:r>
                    <w:t xml:space="preserve"> organizing coordination meetings, facilitating reporting and producing dashboards, 3/4Ws maps and tables, etc....) </w:t>
                  </w:r>
                </w:p>
              </w:tc>
            </w:tr>
            <w:tr w:rsidR="002A04A6" w:rsidRPr="003931EB" w14:paraId="1EF17E44" w14:textId="77777777" w:rsidTr="003B112A">
              <w:trPr>
                <w:trHeight w:val="1169"/>
              </w:trPr>
              <w:tc>
                <w:tcPr>
                  <w:tcW w:w="3823" w:type="dxa"/>
                  <w:shd w:val="clear" w:color="auto" w:fill="DEEAF6" w:themeFill="accent1" w:themeFillTint="33"/>
                </w:tcPr>
                <w:p w14:paraId="251F085E" w14:textId="3AC19CCA" w:rsidR="002A04A6" w:rsidRDefault="002A04A6" w:rsidP="002A04A6">
                  <w:pPr>
                    <w:spacing w:before="60" w:after="60"/>
                    <w:ind w:left="29"/>
                    <w:jc w:val="both"/>
                    <w:rPr>
                      <w:b/>
                      <w:bCs/>
                    </w:rPr>
                  </w:pPr>
                  <w:r>
                    <w:rPr>
                      <w:b/>
                      <w:bCs/>
                    </w:rPr>
                    <w:t>Mapping of assessments</w:t>
                  </w:r>
                </w:p>
                <w:p w14:paraId="3290CE8C" w14:textId="77777777" w:rsidR="002A04A6" w:rsidRDefault="002A04A6" w:rsidP="002A04A6">
                  <w:pPr>
                    <w:spacing w:before="60" w:after="60"/>
                    <w:ind w:left="29"/>
                    <w:jc w:val="both"/>
                    <w:rPr>
                      <w:b/>
                      <w:bCs/>
                    </w:rPr>
                  </w:pPr>
                </w:p>
                <w:p w14:paraId="7850A6E0" w14:textId="77777777" w:rsidR="002A04A6" w:rsidRPr="00EB2502" w:rsidRDefault="002A04A6" w:rsidP="002A04A6">
                  <w:pPr>
                    <w:spacing w:before="60" w:after="60"/>
                    <w:ind w:left="29"/>
                    <w:jc w:val="both"/>
                    <w:rPr>
                      <w:b/>
                    </w:rPr>
                  </w:pPr>
                  <w:r w:rsidRPr="00EB2502">
                    <w:rPr>
                      <w:b/>
                    </w:rPr>
                    <w:t xml:space="preserve">Objective: </w:t>
                  </w:r>
                </w:p>
                <w:p w14:paraId="491ECD4B" w14:textId="77777777" w:rsidR="002A04A6" w:rsidRPr="003931EB" w:rsidRDefault="002A04A6" w:rsidP="002A04A6">
                  <w:pPr>
                    <w:pStyle w:val="ListParagraph"/>
                    <w:spacing w:before="60" w:after="60"/>
                    <w:ind w:left="175"/>
                    <w:jc w:val="both"/>
                  </w:pPr>
                  <w:r>
                    <w:t>=&gt;Optimize and prioritize response</w:t>
                  </w:r>
                  <w:r w:rsidRPr="003931EB">
                    <w:t xml:space="preserve"> according to gaps identified, from type of assistance provided to which economic sector to work on.</w:t>
                  </w:r>
                </w:p>
                <w:p w14:paraId="3DB6A212" w14:textId="77777777" w:rsidR="002A04A6" w:rsidRPr="003931EB" w:rsidRDefault="002A04A6" w:rsidP="002A04A6">
                  <w:pPr>
                    <w:pStyle w:val="ListParagraph"/>
                    <w:spacing w:before="60" w:after="60"/>
                    <w:ind w:left="175"/>
                    <w:jc w:val="both"/>
                  </w:pPr>
                  <w:r>
                    <w:t>=&gt;</w:t>
                  </w:r>
                  <w:r w:rsidRPr="003931EB">
                    <w:t>Reach out to training providers from the relevant economic sectors where gap</w:t>
                  </w:r>
                  <w:r>
                    <w:t>s</w:t>
                  </w:r>
                  <w:r w:rsidRPr="003931EB">
                    <w:t xml:space="preserve"> </w:t>
                  </w:r>
                  <w:r>
                    <w:t>are</w:t>
                  </w:r>
                  <w:r w:rsidRPr="003931EB">
                    <w:t xml:space="preserve"> identified.</w:t>
                  </w:r>
                </w:p>
                <w:p w14:paraId="7977A419" w14:textId="17A0E4EF" w:rsidR="002A04A6" w:rsidRDefault="002A04A6" w:rsidP="002A04A6">
                  <w:pPr>
                    <w:spacing w:before="60" w:after="60"/>
                    <w:ind w:left="29"/>
                    <w:jc w:val="both"/>
                    <w:rPr>
                      <w:b/>
                      <w:bCs/>
                    </w:rPr>
                  </w:pPr>
                </w:p>
              </w:tc>
              <w:tc>
                <w:tcPr>
                  <w:tcW w:w="7062" w:type="dxa"/>
                </w:tcPr>
                <w:p w14:paraId="1230A237" w14:textId="4A2918B4" w:rsidR="002A04A6" w:rsidRDefault="002A04A6" w:rsidP="002A04A6">
                  <w:pPr>
                    <w:pStyle w:val="ListParagraph"/>
                    <w:numPr>
                      <w:ilvl w:val="0"/>
                      <w:numId w:val="1"/>
                    </w:numPr>
                    <w:spacing w:before="60" w:after="60"/>
                    <w:ind w:left="152" w:hanging="152"/>
                    <w:jc w:val="both"/>
                  </w:pPr>
                  <w:r>
                    <w:t xml:space="preserve">All market assessment, </w:t>
                  </w:r>
                  <w:proofErr w:type="spellStart"/>
                  <w:r>
                    <w:t>labour</w:t>
                  </w:r>
                  <w:proofErr w:type="spellEnd"/>
                  <w:r>
                    <w:t xml:space="preserve"> force profiling, skills gap analysis, profiling of SME, value chain analysis uploaded on </w:t>
                  </w:r>
                  <w:r w:rsidR="006A291A">
                    <w:t>web portal</w:t>
                  </w:r>
                  <w:r>
                    <w:t xml:space="preserve"> and included in map of livelihoods assessments (to be updated every 3 months). </w:t>
                  </w:r>
                </w:p>
                <w:p w14:paraId="7DDF58AD" w14:textId="0E7A018C" w:rsidR="002A04A6" w:rsidRDefault="002A04A6" w:rsidP="002A04A6">
                  <w:pPr>
                    <w:pStyle w:val="ListParagraph"/>
                    <w:numPr>
                      <w:ilvl w:val="0"/>
                      <w:numId w:val="1"/>
                    </w:numPr>
                    <w:spacing w:before="60" w:after="60"/>
                    <w:ind w:left="142" w:hanging="142"/>
                    <w:jc w:val="both"/>
                  </w:pPr>
                  <w:r>
                    <w:t>Key findings of assessments to be presented in working group (field and/or national).</w:t>
                  </w:r>
                </w:p>
              </w:tc>
              <w:tc>
                <w:tcPr>
                  <w:tcW w:w="2860" w:type="dxa"/>
                  <w:shd w:val="clear" w:color="auto" w:fill="DEEAF6" w:themeFill="accent1" w:themeFillTint="33"/>
                </w:tcPr>
                <w:p w14:paraId="7C59DFF4" w14:textId="6581874E" w:rsidR="002A04A6" w:rsidRDefault="002A04A6" w:rsidP="002A04A6">
                  <w:pPr>
                    <w:spacing w:before="60" w:after="60"/>
                    <w:jc w:val="both"/>
                  </w:pPr>
                  <w:r>
                    <w:t>Sector coordinator, IM and relevant partners.</w:t>
                  </w:r>
                </w:p>
              </w:tc>
            </w:tr>
            <w:tr w:rsidR="002A04A6" w:rsidRPr="003931EB" w14:paraId="1D346806" w14:textId="77777777" w:rsidTr="003B112A">
              <w:tc>
                <w:tcPr>
                  <w:tcW w:w="3823" w:type="dxa"/>
                  <w:shd w:val="clear" w:color="auto" w:fill="DEEAF6" w:themeFill="accent1" w:themeFillTint="33"/>
                </w:tcPr>
                <w:p w14:paraId="6E1ACB77" w14:textId="77777777" w:rsidR="002A04A6" w:rsidRDefault="002A04A6" w:rsidP="002A04A6">
                  <w:pPr>
                    <w:spacing w:before="60" w:after="60"/>
                    <w:ind w:left="29"/>
                    <w:jc w:val="both"/>
                    <w:rPr>
                      <w:b/>
                      <w:bCs/>
                    </w:rPr>
                  </w:pPr>
                  <w:r>
                    <w:rPr>
                      <w:b/>
                      <w:bCs/>
                    </w:rPr>
                    <w:lastRenderedPageBreak/>
                    <w:t>Graduation / transition</w:t>
                  </w:r>
                </w:p>
                <w:p w14:paraId="52E3C96A" w14:textId="3539A1B7" w:rsidR="002A04A6" w:rsidRPr="0001701A" w:rsidRDefault="002A04A6" w:rsidP="002A04A6">
                  <w:pPr>
                    <w:spacing w:before="60" w:after="60"/>
                    <w:ind w:left="29"/>
                    <w:jc w:val="both"/>
                    <w:rPr>
                      <w:bCs/>
                    </w:rPr>
                  </w:pPr>
                  <w:r>
                    <w:rPr>
                      <w:b/>
                      <w:bCs/>
                    </w:rPr>
                    <w:t xml:space="preserve">Objective: </w:t>
                  </w:r>
                  <w:r>
                    <w:rPr>
                      <w:bCs/>
                    </w:rPr>
                    <w:t xml:space="preserve">support the transition of some of the caseload of cash transfers (food or multi-purpose, for Lebanese or refugees) towards self-reliance. </w:t>
                  </w:r>
                </w:p>
              </w:tc>
              <w:tc>
                <w:tcPr>
                  <w:tcW w:w="7062" w:type="dxa"/>
                  <w:shd w:val="clear" w:color="auto" w:fill="DEEAF6" w:themeFill="accent1" w:themeFillTint="33"/>
                </w:tcPr>
                <w:p w14:paraId="5A759F0F" w14:textId="77777777" w:rsidR="002A04A6" w:rsidRDefault="002A04A6" w:rsidP="002A04A6">
                  <w:pPr>
                    <w:pStyle w:val="ListParagraph"/>
                    <w:numPr>
                      <w:ilvl w:val="0"/>
                      <w:numId w:val="1"/>
                    </w:numPr>
                    <w:spacing w:before="60" w:after="60"/>
                    <w:ind w:left="152" w:hanging="152"/>
                    <w:jc w:val="both"/>
                  </w:pPr>
                  <w:r>
                    <w:t xml:space="preserve">Maintain regular information exchange with the NPTP (MOSA, PCM) and the World Bank on the progress and lessons learnt from the NPTP-G </w:t>
                  </w:r>
                  <w:proofErr w:type="spellStart"/>
                  <w:r>
                    <w:t>programme</w:t>
                  </w:r>
                  <w:proofErr w:type="spellEnd"/>
                  <w:r>
                    <w:t xml:space="preserve">. </w:t>
                  </w:r>
                </w:p>
                <w:p w14:paraId="07B2C339" w14:textId="228E84FF" w:rsidR="002A04A6" w:rsidRDefault="002A04A6" w:rsidP="002A04A6">
                  <w:pPr>
                    <w:pStyle w:val="ListParagraph"/>
                    <w:numPr>
                      <w:ilvl w:val="0"/>
                      <w:numId w:val="1"/>
                    </w:numPr>
                    <w:spacing w:before="60" w:after="60"/>
                    <w:ind w:left="152" w:hanging="152"/>
                    <w:jc w:val="both"/>
                  </w:pPr>
                  <w:r>
                    <w:t xml:space="preserve">Based on the above, explore with the BA and FSS which elements could be applied to the LCRP beneficiaries and support partners taking pilot initiatives. Include relevant update in the LCRP 2019 review. </w:t>
                  </w:r>
                </w:p>
              </w:tc>
              <w:tc>
                <w:tcPr>
                  <w:tcW w:w="2860" w:type="dxa"/>
                  <w:shd w:val="clear" w:color="auto" w:fill="DEEAF6" w:themeFill="accent1" w:themeFillTint="33"/>
                </w:tcPr>
                <w:p w14:paraId="6FF821C5" w14:textId="1C5580E0" w:rsidR="002A04A6" w:rsidRDefault="002A04A6" w:rsidP="002A04A6">
                  <w:pPr>
                    <w:spacing w:before="60" w:after="60"/>
                    <w:jc w:val="both"/>
                  </w:pPr>
                  <w:r>
                    <w:t xml:space="preserve">MOSA, Sector lead, coordinator, BA and FSS coordinator. </w:t>
                  </w:r>
                </w:p>
              </w:tc>
            </w:tr>
            <w:tr w:rsidR="002A04A6" w:rsidRPr="003931EB" w14:paraId="39A8BC11" w14:textId="77777777" w:rsidTr="003B112A">
              <w:tc>
                <w:tcPr>
                  <w:tcW w:w="3823" w:type="dxa"/>
                  <w:shd w:val="clear" w:color="auto" w:fill="DEEAF6" w:themeFill="accent1" w:themeFillTint="33"/>
                </w:tcPr>
                <w:p w14:paraId="6E087E0D" w14:textId="6D63E1FB" w:rsidR="002A04A6" w:rsidRDefault="002A04A6" w:rsidP="002A04A6">
                  <w:pPr>
                    <w:spacing w:before="60" w:after="60"/>
                    <w:ind w:left="29"/>
                    <w:jc w:val="both"/>
                    <w:rPr>
                      <w:b/>
                      <w:bCs/>
                    </w:rPr>
                  </w:pPr>
                  <w:r w:rsidRPr="003931EB">
                    <w:rPr>
                      <w:b/>
                      <w:bCs/>
                    </w:rPr>
                    <w:t>Targeting</w:t>
                  </w:r>
                  <w:r>
                    <w:rPr>
                      <w:b/>
                      <w:bCs/>
                    </w:rPr>
                    <w:t xml:space="preserve">/tracking of beneficiaries in coordination with existing government systems. </w:t>
                  </w:r>
                </w:p>
                <w:p w14:paraId="56D8A897" w14:textId="77777777" w:rsidR="002A04A6" w:rsidRDefault="002A04A6" w:rsidP="002A04A6">
                  <w:pPr>
                    <w:spacing w:before="60" w:after="60"/>
                    <w:ind w:left="29"/>
                    <w:jc w:val="both"/>
                    <w:rPr>
                      <w:b/>
                      <w:bCs/>
                    </w:rPr>
                  </w:pPr>
                </w:p>
                <w:p w14:paraId="50C88A09" w14:textId="77777777" w:rsidR="002A04A6" w:rsidRDefault="002A04A6" w:rsidP="002A04A6">
                  <w:pPr>
                    <w:spacing w:before="60" w:after="60"/>
                    <w:ind w:left="29"/>
                    <w:jc w:val="both"/>
                    <w:rPr>
                      <w:b/>
                      <w:bCs/>
                    </w:rPr>
                  </w:pPr>
                  <w:r>
                    <w:rPr>
                      <w:b/>
                      <w:bCs/>
                    </w:rPr>
                    <w:t xml:space="preserve">Objective: </w:t>
                  </w:r>
                  <w:r w:rsidRPr="00EB2502">
                    <w:rPr>
                      <w:bCs/>
                    </w:rPr>
                    <w:t xml:space="preserve">Ensure the </w:t>
                  </w:r>
                  <w:r>
                    <w:rPr>
                      <w:bCs/>
                    </w:rPr>
                    <w:t>tracking</w:t>
                  </w:r>
                  <w:r w:rsidRPr="00EB2502">
                    <w:rPr>
                      <w:bCs/>
                    </w:rPr>
                    <w:t xml:space="preserve"> of livelihoods beneficiaries, increase use of government systems, and optimize livelihoods assistance.</w:t>
                  </w:r>
                  <w:r>
                    <w:rPr>
                      <w:b/>
                      <w:bCs/>
                    </w:rPr>
                    <w:t xml:space="preserve"> </w:t>
                  </w:r>
                </w:p>
                <w:p w14:paraId="14425DF3" w14:textId="38646BAA" w:rsidR="002A04A6" w:rsidRDefault="002A04A6" w:rsidP="002A04A6">
                  <w:pPr>
                    <w:spacing w:before="60" w:after="60"/>
                    <w:ind w:left="29"/>
                    <w:jc w:val="both"/>
                    <w:rPr>
                      <w:b/>
                      <w:bCs/>
                    </w:rPr>
                  </w:pPr>
                </w:p>
              </w:tc>
              <w:tc>
                <w:tcPr>
                  <w:tcW w:w="7062" w:type="dxa"/>
                  <w:shd w:val="clear" w:color="auto" w:fill="DEEAF6" w:themeFill="accent1" w:themeFillTint="33"/>
                </w:tcPr>
                <w:p w14:paraId="04C88FA4" w14:textId="6094C1DC" w:rsidR="002A04A6" w:rsidRDefault="002A04A6" w:rsidP="002A04A6">
                  <w:pPr>
                    <w:pStyle w:val="ListParagraph"/>
                    <w:numPr>
                      <w:ilvl w:val="0"/>
                      <w:numId w:val="1"/>
                    </w:numPr>
                    <w:spacing w:before="60" w:after="60"/>
                    <w:ind w:left="153" w:hanging="141"/>
                    <w:jc w:val="both"/>
                  </w:pPr>
                  <w:r>
                    <w:t>Provide mapping of services provided by SDCs and present livelihoods</w:t>
                  </w:r>
                  <w:r w:rsidR="00587725">
                    <w:t xml:space="preserve"> related services </w:t>
                  </w:r>
                  <w:r>
                    <w:t>to working group partners (field and national).</w:t>
                  </w:r>
                </w:p>
                <w:p w14:paraId="1D3B4884" w14:textId="77777777" w:rsidR="002A04A6" w:rsidRDefault="002A04A6" w:rsidP="002A04A6">
                  <w:pPr>
                    <w:pStyle w:val="ListParagraph"/>
                    <w:spacing w:before="60" w:after="60"/>
                    <w:ind w:left="153"/>
                    <w:jc w:val="both"/>
                  </w:pPr>
                </w:p>
                <w:p w14:paraId="0659C3CD" w14:textId="03ADAF15" w:rsidR="002A04A6" w:rsidRPr="00550047" w:rsidRDefault="00550047" w:rsidP="00550047">
                  <w:pPr>
                    <w:keepNext/>
                    <w:keepLines/>
                    <w:spacing w:before="60" w:after="60"/>
                    <w:jc w:val="both"/>
                    <w:outlineLvl w:val="7"/>
                    <w:rPr>
                      <w:highlight w:val="yellow"/>
                    </w:rPr>
                  </w:pPr>
                  <w:r>
                    <w:t>-</w:t>
                  </w:r>
                  <w:r w:rsidR="002A04A6" w:rsidRPr="00550047">
                    <w:t>Strengthen link between national employment offices and skills training providers by obtaining the list of NGOs accredited by the National employment office/MEHE.</w:t>
                  </w:r>
                </w:p>
                <w:p w14:paraId="3CB94CC4" w14:textId="77777777" w:rsidR="002A04A6" w:rsidRDefault="002A04A6" w:rsidP="002A04A6">
                  <w:pPr>
                    <w:pStyle w:val="ListParagraph"/>
                    <w:spacing w:before="60" w:after="60"/>
                    <w:ind w:left="153"/>
                    <w:jc w:val="both"/>
                  </w:pPr>
                </w:p>
                <w:p w14:paraId="2BC2C502" w14:textId="77777777" w:rsidR="002A04A6" w:rsidRDefault="002A04A6" w:rsidP="002A04A6">
                  <w:pPr>
                    <w:pStyle w:val="ListParagraph"/>
                    <w:numPr>
                      <w:ilvl w:val="0"/>
                      <w:numId w:val="1"/>
                    </w:numPr>
                    <w:spacing w:before="60" w:after="60"/>
                    <w:ind w:left="153" w:hanging="141"/>
                    <w:jc w:val="both"/>
                  </w:pPr>
                  <w:r>
                    <w:t xml:space="preserve">Ensure the use of existing system and database on vulnerable people (NPTP, RAIS, </w:t>
                  </w:r>
                  <w:proofErr w:type="spellStart"/>
                  <w:proofErr w:type="gramStart"/>
                  <w:r>
                    <w:t>ProGres</w:t>
                  </w:r>
                  <w:proofErr w:type="spellEnd"/>
                  <w:proofErr w:type="gramEnd"/>
                  <w:r>
                    <w:t>) by partners programming (notably for the selection of beneficiaries).</w:t>
                  </w:r>
                </w:p>
                <w:p w14:paraId="5661B608" w14:textId="77777777" w:rsidR="002A04A6" w:rsidRDefault="002A04A6" w:rsidP="002A04A6">
                  <w:pPr>
                    <w:spacing w:before="60" w:after="60"/>
                    <w:jc w:val="both"/>
                  </w:pPr>
                </w:p>
                <w:p w14:paraId="23BAF550" w14:textId="77777777" w:rsidR="002A04A6" w:rsidRDefault="002A04A6" w:rsidP="002A04A6">
                  <w:pPr>
                    <w:pStyle w:val="ListParagraph"/>
                    <w:spacing w:before="60" w:after="60"/>
                    <w:ind w:left="153"/>
                    <w:jc w:val="both"/>
                  </w:pPr>
                </w:p>
                <w:p w14:paraId="5F7EEF9B" w14:textId="77777777" w:rsidR="002A04A6" w:rsidRDefault="002A04A6" w:rsidP="002A04A6">
                  <w:pPr>
                    <w:pStyle w:val="ListParagraph"/>
                    <w:numPr>
                      <w:ilvl w:val="0"/>
                      <w:numId w:val="1"/>
                    </w:numPr>
                    <w:spacing w:before="60" w:after="60"/>
                    <w:ind w:left="153" w:hanging="141"/>
                    <w:jc w:val="both"/>
                  </w:pPr>
                  <w:r>
                    <w:t>Explore the possibility of using</w:t>
                  </w:r>
                  <w:r w:rsidRPr="00157A9A">
                    <w:t xml:space="preserve"> a common </w:t>
                  </w:r>
                  <w:r>
                    <w:t xml:space="preserve">platform/tool for </w:t>
                  </w:r>
                  <w:r w:rsidRPr="00157A9A">
                    <w:t xml:space="preserve">profiling/tracking of </w:t>
                  </w:r>
                  <w:r>
                    <w:t>beneficiaries.</w:t>
                  </w:r>
                </w:p>
                <w:p w14:paraId="12FCD494" w14:textId="77777777" w:rsidR="002A04A6" w:rsidRDefault="002A04A6" w:rsidP="002A04A6">
                  <w:pPr>
                    <w:pStyle w:val="ListParagraph"/>
                    <w:spacing w:before="60" w:after="60"/>
                    <w:ind w:left="153"/>
                    <w:jc w:val="both"/>
                  </w:pPr>
                </w:p>
                <w:p w14:paraId="511AE64E" w14:textId="12207ED0" w:rsidR="002A04A6" w:rsidRDefault="002A04A6" w:rsidP="002A04A6">
                  <w:pPr>
                    <w:pStyle w:val="ListParagraph"/>
                    <w:numPr>
                      <w:ilvl w:val="0"/>
                      <w:numId w:val="1"/>
                    </w:numPr>
                    <w:spacing w:before="60" w:after="60"/>
                    <w:ind w:left="152" w:hanging="152"/>
                    <w:jc w:val="both"/>
                  </w:pPr>
                  <w:r>
                    <w:t xml:space="preserve">Evaluate pertinence of referrals mechanisms set up at field level between livelihoods and other sectors. </w:t>
                  </w:r>
                  <w:r w:rsidR="00550047">
                    <w:t xml:space="preserve">E.g. Protection sector </w:t>
                  </w:r>
                </w:p>
              </w:tc>
              <w:tc>
                <w:tcPr>
                  <w:tcW w:w="2860" w:type="dxa"/>
                  <w:shd w:val="clear" w:color="auto" w:fill="DEEAF6" w:themeFill="accent1" w:themeFillTint="33"/>
                </w:tcPr>
                <w:p w14:paraId="7A2B3F7D" w14:textId="77777777" w:rsidR="002A04A6" w:rsidRDefault="002A04A6" w:rsidP="002A04A6">
                  <w:pPr>
                    <w:spacing w:before="60" w:after="60"/>
                    <w:jc w:val="both"/>
                  </w:pPr>
                  <w:proofErr w:type="spellStart"/>
                  <w:r>
                    <w:t>MoSA</w:t>
                  </w:r>
                  <w:proofErr w:type="spellEnd"/>
                  <w:r>
                    <w:t xml:space="preserve"> sector leads, sector coordinator, ILO, and relevant partners </w:t>
                  </w:r>
                </w:p>
                <w:p w14:paraId="682F9791" w14:textId="4DAF3133" w:rsidR="002A04A6" w:rsidRDefault="002A04A6" w:rsidP="002A04A6">
                  <w:pPr>
                    <w:spacing w:before="60" w:after="60"/>
                    <w:jc w:val="both"/>
                  </w:pPr>
                  <w:r>
                    <w:t>ILO, Output 1.4 partners, NEO Office/MEHE</w:t>
                  </w:r>
                  <w:r w:rsidR="00550047">
                    <w:t xml:space="preserve"> in coordination with </w:t>
                  </w:r>
                  <w:proofErr w:type="spellStart"/>
                  <w:r w:rsidR="00550047">
                    <w:t>MoSA</w:t>
                  </w:r>
                  <w:proofErr w:type="spellEnd"/>
                </w:p>
                <w:p w14:paraId="46C1E6F0" w14:textId="77777777" w:rsidR="00895C84" w:rsidRDefault="00895C84" w:rsidP="002A04A6">
                  <w:pPr>
                    <w:spacing w:before="60" w:after="60"/>
                    <w:jc w:val="both"/>
                  </w:pPr>
                </w:p>
                <w:p w14:paraId="77452F37" w14:textId="5A7B498F" w:rsidR="002A04A6" w:rsidRDefault="002A04A6" w:rsidP="002A04A6">
                  <w:pPr>
                    <w:spacing w:before="60" w:after="60"/>
                    <w:jc w:val="both"/>
                  </w:pPr>
                  <w:r>
                    <w:t xml:space="preserve">Sector </w:t>
                  </w:r>
                  <w:r w:rsidRPr="00CA1E53">
                    <w:t xml:space="preserve">coordinator, </w:t>
                  </w:r>
                  <w:proofErr w:type="spellStart"/>
                  <w:r>
                    <w:t>MoSA</w:t>
                  </w:r>
                  <w:proofErr w:type="spellEnd"/>
                  <w:r>
                    <w:t xml:space="preserve">, UNHCR, Basic Assistance partners </w:t>
                  </w:r>
                </w:p>
                <w:p w14:paraId="1D1C9A2D" w14:textId="77777777" w:rsidR="002A04A6" w:rsidRDefault="002A04A6" w:rsidP="002A04A6">
                  <w:pPr>
                    <w:spacing w:before="60" w:after="60"/>
                    <w:jc w:val="both"/>
                  </w:pPr>
                </w:p>
                <w:p w14:paraId="5DFACBE5" w14:textId="77777777" w:rsidR="002A04A6" w:rsidRDefault="002A04A6" w:rsidP="002A04A6">
                  <w:pPr>
                    <w:spacing w:before="60" w:after="60"/>
                    <w:jc w:val="both"/>
                  </w:pPr>
                  <w:r>
                    <w:t>Sector coordination, UNHCR and UNICEF if relevant.</w:t>
                  </w:r>
                </w:p>
                <w:p w14:paraId="66B37487" w14:textId="77777777" w:rsidR="002A04A6" w:rsidRDefault="002A04A6" w:rsidP="002A04A6">
                  <w:pPr>
                    <w:spacing w:before="60" w:after="60"/>
                    <w:jc w:val="both"/>
                  </w:pPr>
                </w:p>
                <w:p w14:paraId="10020C90" w14:textId="366C2C7B" w:rsidR="002A04A6" w:rsidRDefault="002A04A6" w:rsidP="00474548">
                  <w:pPr>
                    <w:spacing w:before="60" w:after="60"/>
                    <w:jc w:val="both"/>
                  </w:pPr>
                  <w:r>
                    <w:t xml:space="preserve">Sector coordinator and field coordinators </w:t>
                  </w:r>
                </w:p>
              </w:tc>
            </w:tr>
          </w:tbl>
          <w:p w14:paraId="1576BF1D" w14:textId="77777777" w:rsidR="008F33E8" w:rsidRPr="003931EB" w:rsidRDefault="008F33E8" w:rsidP="007C2170">
            <w:pPr>
              <w:spacing w:before="60" w:after="60"/>
              <w:jc w:val="both"/>
              <w:rPr>
                <w:b/>
                <w:bCs/>
              </w:rPr>
            </w:pPr>
          </w:p>
        </w:tc>
      </w:tr>
    </w:tbl>
    <w:p w14:paraId="0748CB7B" w14:textId="668F6C26" w:rsidR="004A2440" w:rsidRDefault="004A2440" w:rsidP="00406263">
      <w:pPr>
        <w:jc w:val="both"/>
      </w:pPr>
    </w:p>
    <w:sectPr w:rsidR="004A2440" w:rsidSect="00EB2502">
      <w:headerReference w:type="default" r:id="rId8"/>
      <w:pgSz w:w="15840" w:h="12240" w:orient="landscape"/>
      <w:pgMar w:top="156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7B9F6" w14:textId="77777777" w:rsidR="00ED4666" w:rsidRDefault="00ED4666">
      <w:pPr>
        <w:spacing w:after="0" w:line="240" w:lineRule="auto"/>
      </w:pPr>
      <w:r>
        <w:separator/>
      </w:r>
    </w:p>
  </w:endnote>
  <w:endnote w:type="continuationSeparator" w:id="0">
    <w:p w14:paraId="3E7523D3" w14:textId="77777777" w:rsidR="00ED4666" w:rsidRDefault="00ED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F2B2" w14:textId="77777777" w:rsidR="00ED4666" w:rsidRDefault="00ED4666">
      <w:pPr>
        <w:spacing w:after="0" w:line="240" w:lineRule="auto"/>
      </w:pPr>
      <w:r>
        <w:separator/>
      </w:r>
    </w:p>
  </w:footnote>
  <w:footnote w:type="continuationSeparator" w:id="0">
    <w:p w14:paraId="395AC60F" w14:textId="77777777" w:rsidR="00ED4666" w:rsidRDefault="00ED4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FE24D" w14:textId="77777777" w:rsidR="0001701A" w:rsidRDefault="0001701A">
    <w:pPr>
      <w:pStyle w:val="Header"/>
    </w:pPr>
    <w:r w:rsidRPr="00015C87">
      <w:rPr>
        <w:noProof/>
        <w:lang w:val="en-GB" w:eastAsia="en-GB"/>
      </w:rPr>
      <w:drawing>
        <wp:anchor distT="0" distB="0" distL="114300" distR="114300" simplePos="0" relativeHeight="251660288" behindDoc="0" locked="0" layoutInCell="1" allowOverlap="1" wp14:anchorId="583E9932" wp14:editId="7487EDC0">
          <wp:simplePos x="0" y="0"/>
          <wp:positionH relativeFrom="margin">
            <wp:posOffset>7610475</wp:posOffset>
          </wp:positionH>
          <wp:positionV relativeFrom="margin">
            <wp:posOffset>-717973</wp:posOffset>
          </wp:positionV>
          <wp:extent cx="564266" cy="556429"/>
          <wp:effectExtent l="0" t="0" r="7620" b="0"/>
          <wp:wrapSquare wrapText="bothSides"/>
          <wp:docPr id="5" name="Picture 5" descr="C:\Users\User\Dropbox\2. Lebanon_Sector_Coordinators_Databox\1. Interagency-sector Logos\Sectors_logos\liveliho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2. Lebanon_Sector_Coordinators_Databox\1. Interagency-sector Logos\Sectors_logos\livelihoo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266" cy="556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C87">
      <w:rPr>
        <w:noProof/>
        <w:lang w:val="en-GB" w:eastAsia="en-GB"/>
      </w:rPr>
      <w:drawing>
        <wp:anchor distT="0" distB="0" distL="114300" distR="114300" simplePos="0" relativeHeight="251659264" behindDoc="0" locked="0" layoutInCell="1" allowOverlap="1" wp14:anchorId="1DB8CFBF" wp14:editId="56068291">
          <wp:simplePos x="0" y="0"/>
          <wp:positionH relativeFrom="margin">
            <wp:posOffset>171</wp:posOffset>
          </wp:positionH>
          <wp:positionV relativeFrom="margin">
            <wp:posOffset>-733425</wp:posOffset>
          </wp:positionV>
          <wp:extent cx="2476500" cy="574715"/>
          <wp:effectExtent l="0" t="0" r="0" b="0"/>
          <wp:wrapSquare wrapText="bothSides"/>
          <wp:docPr id="6" name="Picture 6" descr="C:\Users\User\Dropbox\2. Lebanon_Sector_Coordinators_Databox\1. Interagency-sector Logos\Interagency_logo\Interagency_logo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2. Lebanon_Sector_Coordinators_Databox\1. Interagency-sector Logos\Interagency_logo\Interagency_logo_landscap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6500" cy="574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450BD"/>
    <w:multiLevelType w:val="hybridMultilevel"/>
    <w:tmpl w:val="12189F86"/>
    <w:lvl w:ilvl="0" w:tplc="B562F72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2115"/>
    <w:multiLevelType w:val="hybridMultilevel"/>
    <w:tmpl w:val="A2D8ADE8"/>
    <w:lvl w:ilvl="0" w:tplc="B562F7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85E9D"/>
    <w:multiLevelType w:val="hybridMultilevel"/>
    <w:tmpl w:val="C87267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4470B"/>
    <w:multiLevelType w:val="hybridMultilevel"/>
    <w:tmpl w:val="C32C17AE"/>
    <w:lvl w:ilvl="0" w:tplc="F2D45424">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D1"/>
    <w:rsid w:val="0001701A"/>
    <w:rsid w:val="00022996"/>
    <w:rsid w:val="000246FD"/>
    <w:rsid w:val="00030547"/>
    <w:rsid w:val="000326DE"/>
    <w:rsid w:val="00034912"/>
    <w:rsid w:val="00063646"/>
    <w:rsid w:val="00080E4A"/>
    <w:rsid w:val="00081725"/>
    <w:rsid w:val="000919AC"/>
    <w:rsid w:val="00094E25"/>
    <w:rsid w:val="000C2262"/>
    <w:rsid w:val="000D3291"/>
    <w:rsid w:val="000D568D"/>
    <w:rsid w:val="000E0D56"/>
    <w:rsid w:val="000F1B7D"/>
    <w:rsid w:val="000F293E"/>
    <w:rsid w:val="000F69FF"/>
    <w:rsid w:val="00100F86"/>
    <w:rsid w:val="001102BD"/>
    <w:rsid w:val="001437AF"/>
    <w:rsid w:val="00157A9A"/>
    <w:rsid w:val="00161052"/>
    <w:rsid w:val="0017469F"/>
    <w:rsid w:val="001875B9"/>
    <w:rsid w:val="00187A67"/>
    <w:rsid w:val="00191C06"/>
    <w:rsid w:val="00196C6E"/>
    <w:rsid w:val="001A5865"/>
    <w:rsid w:val="001B05B9"/>
    <w:rsid w:val="001B34A8"/>
    <w:rsid w:val="001C26E6"/>
    <w:rsid w:val="001D0D19"/>
    <w:rsid w:val="001E74AA"/>
    <w:rsid w:val="00201B66"/>
    <w:rsid w:val="002049A7"/>
    <w:rsid w:val="00212336"/>
    <w:rsid w:val="002301BC"/>
    <w:rsid w:val="00233D4D"/>
    <w:rsid w:val="002340D8"/>
    <w:rsid w:val="00241C57"/>
    <w:rsid w:val="00242696"/>
    <w:rsid w:val="002449CD"/>
    <w:rsid w:val="0025326B"/>
    <w:rsid w:val="00254C41"/>
    <w:rsid w:val="0025686F"/>
    <w:rsid w:val="0026000A"/>
    <w:rsid w:val="002830AD"/>
    <w:rsid w:val="002831C5"/>
    <w:rsid w:val="002973C9"/>
    <w:rsid w:val="002A04A6"/>
    <w:rsid w:val="002A0BFB"/>
    <w:rsid w:val="002A65B3"/>
    <w:rsid w:val="002B138D"/>
    <w:rsid w:val="002B7D7D"/>
    <w:rsid w:val="002C2A30"/>
    <w:rsid w:val="002E4316"/>
    <w:rsid w:val="002E4D14"/>
    <w:rsid w:val="002F167C"/>
    <w:rsid w:val="002F1FB5"/>
    <w:rsid w:val="002F4D4F"/>
    <w:rsid w:val="002F554C"/>
    <w:rsid w:val="002F6D4D"/>
    <w:rsid w:val="003058A5"/>
    <w:rsid w:val="00315811"/>
    <w:rsid w:val="00315FB0"/>
    <w:rsid w:val="003506DA"/>
    <w:rsid w:val="00365A33"/>
    <w:rsid w:val="00373A3D"/>
    <w:rsid w:val="0038242B"/>
    <w:rsid w:val="00387E96"/>
    <w:rsid w:val="003A6158"/>
    <w:rsid w:val="003B112A"/>
    <w:rsid w:val="003C3A76"/>
    <w:rsid w:val="003C7A21"/>
    <w:rsid w:val="003D3303"/>
    <w:rsid w:val="003D6D77"/>
    <w:rsid w:val="003D76A1"/>
    <w:rsid w:val="003E24E0"/>
    <w:rsid w:val="003E5F17"/>
    <w:rsid w:val="003E7B22"/>
    <w:rsid w:val="00406263"/>
    <w:rsid w:val="00412D13"/>
    <w:rsid w:val="00421B99"/>
    <w:rsid w:val="004255A6"/>
    <w:rsid w:val="00432BEE"/>
    <w:rsid w:val="00447786"/>
    <w:rsid w:val="00447B5F"/>
    <w:rsid w:val="00453BCB"/>
    <w:rsid w:val="00463AA5"/>
    <w:rsid w:val="00473417"/>
    <w:rsid w:val="00474548"/>
    <w:rsid w:val="004A2440"/>
    <w:rsid w:val="004C2752"/>
    <w:rsid w:val="004C2769"/>
    <w:rsid w:val="004C39D5"/>
    <w:rsid w:val="004C55E2"/>
    <w:rsid w:val="004D6785"/>
    <w:rsid w:val="004D7323"/>
    <w:rsid w:val="004E41A9"/>
    <w:rsid w:val="004E699F"/>
    <w:rsid w:val="005138B7"/>
    <w:rsid w:val="005143D1"/>
    <w:rsid w:val="00514854"/>
    <w:rsid w:val="005210A4"/>
    <w:rsid w:val="005277B4"/>
    <w:rsid w:val="00544DCD"/>
    <w:rsid w:val="00550047"/>
    <w:rsid w:val="005546B7"/>
    <w:rsid w:val="005719ED"/>
    <w:rsid w:val="0057298F"/>
    <w:rsid w:val="00586D78"/>
    <w:rsid w:val="00587725"/>
    <w:rsid w:val="00594207"/>
    <w:rsid w:val="00594DC3"/>
    <w:rsid w:val="005A35D1"/>
    <w:rsid w:val="005A5E2D"/>
    <w:rsid w:val="005B19E1"/>
    <w:rsid w:val="005C58BD"/>
    <w:rsid w:val="005D3415"/>
    <w:rsid w:val="005E5386"/>
    <w:rsid w:val="005F02FB"/>
    <w:rsid w:val="00605D51"/>
    <w:rsid w:val="00615C45"/>
    <w:rsid w:val="00635036"/>
    <w:rsid w:val="00635334"/>
    <w:rsid w:val="006509DF"/>
    <w:rsid w:val="00654F46"/>
    <w:rsid w:val="00655C70"/>
    <w:rsid w:val="0065636B"/>
    <w:rsid w:val="00657859"/>
    <w:rsid w:val="006636C4"/>
    <w:rsid w:val="00676B33"/>
    <w:rsid w:val="00681768"/>
    <w:rsid w:val="00682144"/>
    <w:rsid w:val="00682275"/>
    <w:rsid w:val="00687806"/>
    <w:rsid w:val="006911CC"/>
    <w:rsid w:val="00691EF0"/>
    <w:rsid w:val="006A291A"/>
    <w:rsid w:val="006B16AE"/>
    <w:rsid w:val="006B467F"/>
    <w:rsid w:val="006C51E6"/>
    <w:rsid w:val="006E3388"/>
    <w:rsid w:val="006F3EEC"/>
    <w:rsid w:val="00710840"/>
    <w:rsid w:val="0071225B"/>
    <w:rsid w:val="007131EC"/>
    <w:rsid w:val="007148AF"/>
    <w:rsid w:val="00723141"/>
    <w:rsid w:val="007233C8"/>
    <w:rsid w:val="007316A3"/>
    <w:rsid w:val="00735E84"/>
    <w:rsid w:val="00750BB8"/>
    <w:rsid w:val="007518B3"/>
    <w:rsid w:val="0077016E"/>
    <w:rsid w:val="0077466D"/>
    <w:rsid w:val="00774E6F"/>
    <w:rsid w:val="00776600"/>
    <w:rsid w:val="00776EA8"/>
    <w:rsid w:val="00780EB4"/>
    <w:rsid w:val="007826D1"/>
    <w:rsid w:val="00793CE9"/>
    <w:rsid w:val="007A3631"/>
    <w:rsid w:val="007B3B7F"/>
    <w:rsid w:val="007C2170"/>
    <w:rsid w:val="007C2894"/>
    <w:rsid w:val="007D3011"/>
    <w:rsid w:val="007D7EC9"/>
    <w:rsid w:val="007E1D8F"/>
    <w:rsid w:val="007E71B1"/>
    <w:rsid w:val="007F477F"/>
    <w:rsid w:val="00806B12"/>
    <w:rsid w:val="00813019"/>
    <w:rsid w:val="008225D5"/>
    <w:rsid w:val="008368FC"/>
    <w:rsid w:val="00840040"/>
    <w:rsid w:val="0084006B"/>
    <w:rsid w:val="008437BD"/>
    <w:rsid w:val="008550E8"/>
    <w:rsid w:val="0085631B"/>
    <w:rsid w:val="008624A9"/>
    <w:rsid w:val="00863F01"/>
    <w:rsid w:val="00886757"/>
    <w:rsid w:val="00891FBC"/>
    <w:rsid w:val="00895C84"/>
    <w:rsid w:val="008A20E2"/>
    <w:rsid w:val="008A281A"/>
    <w:rsid w:val="008A5C46"/>
    <w:rsid w:val="008B1919"/>
    <w:rsid w:val="008B43DD"/>
    <w:rsid w:val="008B7908"/>
    <w:rsid w:val="008B7B70"/>
    <w:rsid w:val="008D04A1"/>
    <w:rsid w:val="008D1ECA"/>
    <w:rsid w:val="008D1FCE"/>
    <w:rsid w:val="008D69F2"/>
    <w:rsid w:val="008E4AF5"/>
    <w:rsid w:val="008E5A13"/>
    <w:rsid w:val="008E738E"/>
    <w:rsid w:val="008E75E0"/>
    <w:rsid w:val="008F19EB"/>
    <w:rsid w:val="008F33E8"/>
    <w:rsid w:val="008F5257"/>
    <w:rsid w:val="00906106"/>
    <w:rsid w:val="00926A9B"/>
    <w:rsid w:val="00930392"/>
    <w:rsid w:val="00932BDA"/>
    <w:rsid w:val="00936720"/>
    <w:rsid w:val="00951B9F"/>
    <w:rsid w:val="00956ACB"/>
    <w:rsid w:val="0095726D"/>
    <w:rsid w:val="00967697"/>
    <w:rsid w:val="00973522"/>
    <w:rsid w:val="00994996"/>
    <w:rsid w:val="009A2BA0"/>
    <w:rsid w:val="009A3A0A"/>
    <w:rsid w:val="009A3B82"/>
    <w:rsid w:val="009B2565"/>
    <w:rsid w:val="009E3109"/>
    <w:rsid w:val="009F715B"/>
    <w:rsid w:val="00A064FA"/>
    <w:rsid w:val="00A1157F"/>
    <w:rsid w:val="00A17059"/>
    <w:rsid w:val="00A171FA"/>
    <w:rsid w:val="00A21BBF"/>
    <w:rsid w:val="00A30C6F"/>
    <w:rsid w:val="00A33351"/>
    <w:rsid w:val="00A514A9"/>
    <w:rsid w:val="00A538A9"/>
    <w:rsid w:val="00A66F4C"/>
    <w:rsid w:val="00A74749"/>
    <w:rsid w:val="00A97D66"/>
    <w:rsid w:val="00AA78A1"/>
    <w:rsid w:val="00AB0B03"/>
    <w:rsid w:val="00AC07E4"/>
    <w:rsid w:val="00AC1168"/>
    <w:rsid w:val="00AC2B39"/>
    <w:rsid w:val="00AC670E"/>
    <w:rsid w:val="00AE3532"/>
    <w:rsid w:val="00AE3A5B"/>
    <w:rsid w:val="00AF7105"/>
    <w:rsid w:val="00B0273D"/>
    <w:rsid w:val="00B05C48"/>
    <w:rsid w:val="00B11A29"/>
    <w:rsid w:val="00B167A5"/>
    <w:rsid w:val="00B82EC1"/>
    <w:rsid w:val="00B941C4"/>
    <w:rsid w:val="00BA2D67"/>
    <w:rsid w:val="00BD49FE"/>
    <w:rsid w:val="00BD4BFF"/>
    <w:rsid w:val="00BF280B"/>
    <w:rsid w:val="00C00074"/>
    <w:rsid w:val="00C03240"/>
    <w:rsid w:val="00C053C9"/>
    <w:rsid w:val="00C07454"/>
    <w:rsid w:val="00C43374"/>
    <w:rsid w:val="00C8694A"/>
    <w:rsid w:val="00C91020"/>
    <w:rsid w:val="00C94679"/>
    <w:rsid w:val="00C95758"/>
    <w:rsid w:val="00CA1E53"/>
    <w:rsid w:val="00CB0CCA"/>
    <w:rsid w:val="00CB0DDB"/>
    <w:rsid w:val="00CB1203"/>
    <w:rsid w:val="00CB4B86"/>
    <w:rsid w:val="00CB61E1"/>
    <w:rsid w:val="00CB7909"/>
    <w:rsid w:val="00CC4F80"/>
    <w:rsid w:val="00CE04E1"/>
    <w:rsid w:val="00CE5EDC"/>
    <w:rsid w:val="00CE618C"/>
    <w:rsid w:val="00CE7E3F"/>
    <w:rsid w:val="00CF46D7"/>
    <w:rsid w:val="00CF5894"/>
    <w:rsid w:val="00D05BF2"/>
    <w:rsid w:val="00D10AB1"/>
    <w:rsid w:val="00D121F4"/>
    <w:rsid w:val="00D1488F"/>
    <w:rsid w:val="00D22A0C"/>
    <w:rsid w:val="00D375E4"/>
    <w:rsid w:val="00D42784"/>
    <w:rsid w:val="00D471DC"/>
    <w:rsid w:val="00D5096C"/>
    <w:rsid w:val="00D56CC8"/>
    <w:rsid w:val="00D834B8"/>
    <w:rsid w:val="00DA01CE"/>
    <w:rsid w:val="00DA2CA0"/>
    <w:rsid w:val="00DA37F6"/>
    <w:rsid w:val="00DA3DED"/>
    <w:rsid w:val="00DB00A8"/>
    <w:rsid w:val="00DC0FB1"/>
    <w:rsid w:val="00DD371E"/>
    <w:rsid w:val="00DD5723"/>
    <w:rsid w:val="00DE0704"/>
    <w:rsid w:val="00DE5D83"/>
    <w:rsid w:val="00DF0AFF"/>
    <w:rsid w:val="00DF6E25"/>
    <w:rsid w:val="00DF71AC"/>
    <w:rsid w:val="00E006F3"/>
    <w:rsid w:val="00E10142"/>
    <w:rsid w:val="00E14E6C"/>
    <w:rsid w:val="00E17CF0"/>
    <w:rsid w:val="00E21ACE"/>
    <w:rsid w:val="00E23629"/>
    <w:rsid w:val="00E27D06"/>
    <w:rsid w:val="00E35A73"/>
    <w:rsid w:val="00E45F9E"/>
    <w:rsid w:val="00E56619"/>
    <w:rsid w:val="00E84D30"/>
    <w:rsid w:val="00E9366F"/>
    <w:rsid w:val="00EA0C26"/>
    <w:rsid w:val="00EB2502"/>
    <w:rsid w:val="00EB669F"/>
    <w:rsid w:val="00EC09AB"/>
    <w:rsid w:val="00ED4666"/>
    <w:rsid w:val="00ED566E"/>
    <w:rsid w:val="00ED6E8B"/>
    <w:rsid w:val="00EF1612"/>
    <w:rsid w:val="00F02554"/>
    <w:rsid w:val="00F17652"/>
    <w:rsid w:val="00F21C4D"/>
    <w:rsid w:val="00F2760F"/>
    <w:rsid w:val="00F429DC"/>
    <w:rsid w:val="00F47666"/>
    <w:rsid w:val="00F63B07"/>
    <w:rsid w:val="00F66C50"/>
    <w:rsid w:val="00F95484"/>
    <w:rsid w:val="00FA41FA"/>
    <w:rsid w:val="00FB00E5"/>
    <w:rsid w:val="00FB1306"/>
    <w:rsid w:val="00FB4B26"/>
    <w:rsid w:val="00FB6D1D"/>
    <w:rsid w:val="00FC0065"/>
    <w:rsid w:val="00FC3679"/>
    <w:rsid w:val="00FC4AE2"/>
    <w:rsid w:val="00FD51CF"/>
    <w:rsid w:val="00FD7118"/>
    <w:rsid w:val="00FE5595"/>
    <w:rsid w:val="00FF1032"/>
    <w:rsid w:val="00FF7B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09D34"/>
  <w15:docId w15:val="{5B6F62C9-07D6-4878-A290-945D98E4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5D1"/>
    <w:pPr>
      <w:ind w:left="720"/>
      <w:contextualSpacing/>
    </w:pPr>
  </w:style>
  <w:style w:type="paragraph" w:styleId="Header">
    <w:name w:val="header"/>
    <w:basedOn w:val="Normal"/>
    <w:link w:val="HeaderChar"/>
    <w:uiPriority w:val="99"/>
    <w:unhideWhenUsed/>
    <w:rsid w:val="005A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5D1"/>
  </w:style>
  <w:style w:type="paragraph" w:styleId="BalloonText">
    <w:name w:val="Balloon Text"/>
    <w:basedOn w:val="Normal"/>
    <w:link w:val="BalloonTextChar"/>
    <w:uiPriority w:val="99"/>
    <w:semiHidden/>
    <w:unhideWhenUsed/>
    <w:rsid w:val="005A3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5D1"/>
    <w:rPr>
      <w:rFonts w:ascii="Segoe UI" w:hAnsi="Segoe UI" w:cs="Segoe UI"/>
      <w:sz w:val="18"/>
      <w:szCs w:val="18"/>
    </w:rPr>
  </w:style>
  <w:style w:type="character" w:styleId="CommentReference">
    <w:name w:val="annotation reference"/>
    <w:basedOn w:val="DefaultParagraphFont"/>
    <w:uiPriority w:val="99"/>
    <w:semiHidden/>
    <w:unhideWhenUsed/>
    <w:rsid w:val="0071225B"/>
    <w:rPr>
      <w:sz w:val="16"/>
      <w:szCs w:val="16"/>
    </w:rPr>
  </w:style>
  <w:style w:type="paragraph" w:styleId="CommentText">
    <w:name w:val="annotation text"/>
    <w:basedOn w:val="Normal"/>
    <w:link w:val="CommentTextChar"/>
    <w:uiPriority w:val="99"/>
    <w:semiHidden/>
    <w:unhideWhenUsed/>
    <w:rsid w:val="0071225B"/>
    <w:pPr>
      <w:spacing w:line="240" w:lineRule="auto"/>
    </w:pPr>
    <w:rPr>
      <w:sz w:val="20"/>
      <w:szCs w:val="20"/>
    </w:rPr>
  </w:style>
  <w:style w:type="character" w:customStyle="1" w:styleId="CommentTextChar">
    <w:name w:val="Comment Text Char"/>
    <w:basedOn w:val="DefaultParagraphFont"/>
    <w:link w:val="CommentText"/>
    <w:uiPriority w:val="99"/>
    <w:semiHidden/>
    <w:rsid w:val="0071225B"/>
    <w:rPr>
      <w:sz w:val="20"/>
      <w:szCs w:val="20"/>
    </w:rPr>
  </w:style>
  <w:style w:type="paragraph" w:styleId="CommentSubject">
    <w:name w:val="annotation subject"/>
    <w:basedOn w:val="CommentText"/>
    <w:next w:val="CommentText"/>
    <w:link w:val="CommentSubjectChar"/>
    <w:uiPriority w:val="99"/>
    <w:semiHidden/>
    <w:unhideWhenUsed/>
    <w:rsid w:val="0071225B"/>
    <w:rPr>
      <w:b/>
      <w:bCs/>
    </w:rPr>
  </w:style>
  <w:style w:type="character" w:customStyle="1" w:styleId="CommentSubjectChar">
    <w:name w:val="Comment Subject Char"/>
    <w:basedOn w:val="CommentTextChar"/>
    <w:link w:val="CommentSubject"/>
    <w:uiPriority w:val="99"/>
    <w:semiHidden/>
    <w:rsid w:val="0071225B"/>
    <w:rPr>
      <w:b/>
      <w:bCs/>
      <w:sz w:val="20"/>
      <w:szCs w:val="20"/>
    </w:rPr>
  </w:style>
  <w:style w:type="paragraph" w:styleId="Revision">
    <w:name w:val="Revision"/>
    <w:hidden/>
    <w:uiPriority w:val="99"/>
    <w:semiHidden/>
    <w:rsid w:val="0084006B"/>
    <w:pPr>
      <w:spacing w:after="0" w:line="240" w:lineRule="auto"/>
    </w:pPr>
  </w:style>
  <w:style w:type="paragraph" w:styleId="FootnoteText">
    <w:name w:val="footnote text"/>
    <w:basedOn w:val="Normal"/>
    <w:link w:val="FootnoteTextChar"/>
    <w:uiPriority w:val="99"/>
    <w:semiHidden/>
    <w:unhideWhenUsed/>
    <w:rsid w:val="00EB2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2502"/>
    <w:rPr>
      <w:sz w:val="20"/>
      <w:szCs w:val="20"/>
    </w:rPr>
  </w:style>
  <w:style w:type="character" w:styleId="FootnoteReference">
    <w:name w:val="footnote reference"/>
    <w:basedOn w:val="DefaultParagraphFont"/>
    <w:uiPriority w:val="99"/>
    <w:semiHidden/>
    <w:unhideWhenUsed/>
    <w:rsid w:val="00EB25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5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F8F7-A2DA-4AAA-ABB2-4A5166AF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lanternier</dc:creator>
  <cp:keywords/>
  <dc:description/>
  <cp:lastModifiedBy>Hiba Taha</cp:lastModifiedBy>
  <cp:revision>2</cp:revision>
  <dcterms:created xsi:type="dcterms:W3CDTF">2018-04-16T07:31:00Z</dcterms:created>
  <dcterms:modified xsi:type="dcterms:W3CDTF">2018-04-16T07:31:00Z</dcterms:modified>
</cp:coreProperties>
</file>