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EF346" w14:textId="6C9AEDC1" w:rsidR="00796283" w:rsidRPr="005B6AFB" w:rsidRDefault="00796283" w:rsidP="0006551A">
      <w:pPr>
        <w:pStyle w:val="NoSpacing"/>
        <w:jc w:val="center"/>
        <w:rPr>
          <w:b/>
          <w:sz w:val="28"/>
          <w:szCs w:val="28"/>
        </w:rPr>
      </w:pPr>
      <w:r w:rsidRPr="005B6AFB">
        <w:rPr>
          <w:b/>
          <w:sz w:val="28"/>
          <w:szCs w:val="28"/>
        </w:rPr>
        <w:t>Note</w:t>
      </w:r>
      <w:r w:rsidR="00126E9E" w:rsidRPr="005B6AFB">
        <w:rPr>
          <w:b/>
          <w:sz w:val="28"/>
          <w:szCs w:val="28"/>
        </w:rPr>
        <w:t>s</w:t>
      </w:r>
      <w:r w:rsidRPr="005B6AFB">
        <w:rPr>
          <w:b/>
          <w:sz w:val="28"/>
          <w:szCs w:val="28"/>
        </w:rPr>
        <w:t xml:space="preserve"> of the </w:t>
      </w:r>
      <w:r w:rsidR="0006551A" w:rsidRPr="005B6AFB">
        <w:rPr>
          <w:b/>
          <w:sz w:val="28"/>
          <w:szCs w:val="28"/>
        </w:rPr>
        <w:t xml:space="preserve">Assessment </w:t>
      </w:r>
      <w:r w:rsidR="007E573D" w:rsidRPr="005B6AFB">
        <w:rPr>
          <w:b/>
          <w:sz w:val="28"/>
          <w:szCs w:val="28"/>
        </w:rPr>
        <w:t>T</w:t>
      </w:r>
      <w:r w:rsidR="0006551A" w:rsidRPr="005B6AFB">
        <w:rPr>
          <w:b/>
          <w:sz w:val="28"/>
          <w:szCs w:val="28"/>
        </w:rPr>
        <w:t xml:space="preserve">echnical </w:t>
      </w:r>
      <w:r w:rsidR="007E573D" w:rsidRPr="005B6AFB">
        <w:rPr>
          <w:b/>
          <w:sz w:val="28"/>
          <w:szCs w:val="28"/>
        </w:rPr>
        <w:t>W</w:t>
      </w:r>
      <w:r w:rsidR="0006551A" w:rsidRPr="005B6AFB">
        <w:rPr>
          <w:b/>
          <w:sz w:val="28"/>
          <w:szCs w:val="28"/>
        </w:rPr>
        <w:t xml:space="preserve">orking </w:t>
      </w:r>
      <w:r w:rsidR="007E573D" w:rsidRPr="005B6AFB">
        <w:rPr>
          <w:b/>
          <w:sz w:val="28"/>
          <w:szCs w:val="28"/>
        </w:rPr>
        <w:t>G</w:t>
      </w:r>
      <w:r w:rsidR="0006551A" w:rsidRPr="005B6AFB">
        <w:rPr>
          <w:b/>
          <w:sz w:val="28"/>
          <w:szCs w:val="28"/>
        </w:rPr>
        <w:t>roup (ATWG)</w:t>
      </w:r>
      <w:r w:rsidR="007E573D" w:rsidRPr="005B6AFB">
        <w:rPr>
          <w:b/>
          <w:sz w:val="28"/>
          <w:szCs w:val="28"/>
        </w:rPr>
        <w:t xml:space="preserve"> </w:t>
      </w:r>
      <w:r w:rsidR="00607CD5" w:rsidRPr="005B6AFB">
        <w:rPr>
          <w:b/>
          <w:sz w:val="28"/>
          <w:szCs w:val="28"/>
        </w:rPr>
        <w:t>M</w:t>
      </w:r>
      <w:r w:rsidRPr="005B6AFB">
        <w:rPr>
          <w:b/>
          <w:sz w:val="28"/>
          <w:szCs w:val="28"/>
        </w:rPr>
        <w:t>eeting</w:t>
      </w:r>
    </w:p>
    <w:p w14:paraId="7D27A097" w14:textId="77777777" w:rsidR="0006551A" w:rsidRPr="005B6AFB" w:rsidRDefault="0006551A" w:rsidP="0006551A">
      <w:pPr>
        <w:pStyle w:val="NoSpacing"/>
        <w:jc w:val="center"/>
        <w:rPr>
          <w:b/>
          <w:sz w:val="28"/>
          <w:szCs w:val="28"/>
        </w:rPr>
      </w:pPr>
    </w:p>
    <w:p w14:paraId="7448AABA" w14:textId="4F62510C" w:rsidR="007E573D" w:rsidRPr="005B6AFB" w:rsidRDefault="00F9205E" w:rsidP="0006551A">
      <w:pPr>
        <w:pStyle w:val="NoSpacing"/>
        <w:jc w:val="center"/>
        <w:rPr>
          <w:b/>
        </w:rPr>
      </w:pPr>
      <w:r w:rsidRPr="005B6AFB">
        <w:rPr>
          <w:b/>
        </w:rPr>
        <w:t>07 Feb</w:t>
      </w:r>
      <w:r w:rsidR="007E573D" w:rsidRPr="005B6AFB">
        <w:rPr>
          <w:b/>
        </w:rPr>
        <w:t xml:space="preserve"> 2019</w:t>
      </w:r>
    </w:p>
    <w:p w14:paraId="22CA94BD" w14:textId="77777777" w:rsidR="0006551A" w:rsidRPr="005B6AFB" w:rsidRDefault="0006551A" w:rsidP="0006551A">
      <w:pPr>
        <w:pStyle w:val="NoSpacing"/>
        <w:jc w:val="center"/>
        <w:rPr>
          <w:b/>
        </w:rPr>
      </w:pPr>
    </w:p>
    <w:p w14:paraId="50B8D12E" w14:textId="77777777" w:rsidR="007E573D" w:rsidRPr="005B6AFB" w:rsidRDefault="007E573D" w:rsidP="007E573D">
      <w:pPr>
        <w:pStyle w:val="NoSpacing"/>
        <w:rPr>
          <w:b/>
        </w:rPr>
      </w:pPr>
      <w:r w:rsidRPr="005B6AFB">
        <w:rPr>
          <w:b/>
        </w:rPr>
        <w:t>Participants</w:t>
      </w:r>
    </w:p>
    <w:p w14:paraId="5D3DA63B" w14:textId="77777777" w:rsidR="00A80C51" w:rsidRPr="005B6AFB" w:rsidRDefault="00A80C51" w:rsidP="007E573D">
      <w:pPr>
        <w:pStyle w:val="NoSpacing"/>
      </w:pPr>
    </w:p>
    <w:tbl>
      <w:tblPr>
        <w:tblStyle w:val="TableGrid"/>
        <w:tblW w:w="7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4050"/>
      </w:tblGrid>
      <w:tr w:rsidR="007E573D" w:rsidRPr="005B6AFB" w14:paraId="1A5B51D1" w14:textId="77777777" w:rsidTr="000E4B94">
        <w:trPr>
          <w:trHeight w:val="1245"/>
        </w:trPr>
        <w:tc>
          <w:tcPr>
            <w:tcW w:w="3595" w:type="dxa"/>
          </w:tcPr>
          <w:p w14:paraId="211EFB14" w14:textId="77777777" w:rsidR="007E573D" w:rsidRPr="005B6AFB" w:rsidRDefault="007E573D" w:rsidP="003C3C3E">
            <w:pPr>
              <w:pStyle w:val="NoSpacing"/>
              <w:numPr>
                <w:ilvl w:val="0"/>
                <w:numId w:val="6"/>
              </w:numPr>
              <w:spacing w:line="360" w:lineRule="auto"/>
              <w:ind w:left="430" w:hanging="270"/>
            </w:pPr>
            <w:r w:rsidRPr="005B6AFB">
              <w:t>Sarah Collman (REACH)</w:t>
            </w:r>
          </w:p>
          <w:p w14:paraId="3C92F958" w14:textId="68325364" w:rsidR="007E573D" w:rsidRPr="005B6AFB" w:rsidRDefault="007E573D" w:rsidP="003C3C3E">
            <w:pPr>
              <w:pStyle w:val="NoSpacing"/>
              <w:numPr>
                <w:ilvl w:val="0"/>
                <w:numId w:val="6"/>
              </w:numPr>
              <w:spacing w:line="360" w:lineRule="auto"/>
              <w:ind w:left="430" w:hanging="270"/>
            </w:pPr>
            <w:r w:rsidRPr="005B6AFB">
              <w:t>Katie Be</w:t>
            </w:r>
            <w:r w:rsidR="004A6819" w:rsidRPr="005B6AFB">
              <w:t>r</w:t>
            </w:r>
            <w:r w:rsidRPr="005B6AFB">
              <w:t>nhard (UNDP)</w:t>
            </w:r>
          </w:p>
          <w:p w14:paraId="6D747EF5" w14:textId="77777777" w:rsidR="007E573D" w:rsidRPr="005B6AFB" w:rsidRDefault="007E573D" w:rsidP="003C3C3E">
            <w:pPr>
              <w:pStyle w:val="NoSpacing"/>
              <w:numPr>
                <w:ilvl w:val="0"/>
                <w:numId w:val="6"/>
              </w:numPr>
              <w:spacing w:line="360" w:lineRule="auto"/>
              <w:ind w:left="430" w:hanging="270"/>
            </w:pPr>
            <w:r w:rsidRPr="005B6AFB">
              <w:t xml:space="preserve">Takahiro </w:t>
            </w:r>
            <w:proofErr w:type="spellStart"/>
            <w:r w:rsidRPr="005B6AFB">
              <w:t>Utsumi</w:t>
            </w:r>
            <w:proofErr w:type="spellEnd"/>
            <w:r w:rsidRPr="005B6AFB">
              <w:t xml:space="preserve"> (WFP)</w:t>
            </w:r>
          </w:p>
          <w:p w14:paraId="4BE8C42F" w14:textId="77777777" w:rsidR="007E573D" w:rsidRPr="005B6AFB" w:rsidRDefault="007E573D" w:rsidP="003C3C3E">
            <w:pPr>
              <w:pStyle w:val="NoSpacing"/>
              <w:numPr>
                <w:ilvl w:val="0"/>
                <w:numId w:val="6"/>
              </w:numPr>
              <w:spacing w:line="360" w:lineRule="auto"/>
              <w:ind w:left="430" w:hanging="270"/>
            </w:pPr>
            <w:r w:rsidRPr="005B6AFB">
              <w:t>Gemma Woods (UNHCR)</w:t>
            </w:r>
          </w:p>
          <w:p w14:paraId="1216CD6F" w14:textId="599F1689" w:rsidR="007E573D" w:rsidRPr="005B6AFB" w:rsidRDefault="007E573D" w:rsidP="003C3C3E">
            <w:pPr>
              <w:pStyle w:val="NoSpacing"/>
              <w:numPr>
                <w:ilvl w:val="0"/>
                <w:numId w:val="6"/>
              </w:numPr>
              <w:spacing w:line="360" w:lineRule="auto"/>
              <w:ind w:left="430" w:hanging="270"/>
            </w:pPr>
            <w:r w:rsidRPr="005B6AFB">
              <w:t>Dav</w:t>
            </w:r>
            <w:r w:rsidR="000E4B94" w:rsidRPr="005B6AFB">
              <w:t>id</w:t>
            </w:r>
            <w:r w:rsidRPr="005B6AFB">
              <w:t xml:space="preserve"> </w:t>
            </w:r>
            <w:r w:rsidR="001E3485" w:rsidRPr="005B6AFB">
              <w:t xml:space="preserve">Moore </w:t>
            </w:r>
            <w:r w:rsidRPr="005B6AFB">
              <w:t>(BPRM)</w:t>
            </w:r>
          </w:p>
          <w:p w14:paraId="0FD3E475" w14:textId="77777777" w:rsidR="007E573D" w:rsidRPr="005B6AFB" w:rsidRDefault="007E573D" w:rsidP="003C3C3E">
            <w:pPr>
              <w:pStyle w:val="NoSpacing"/>
              <w:numPr>
                <w:ilvl w:val="0"/>
                <w:numId w:val="6"/>
              </w:numPr>
              <w:spacing w:line="360" w:lineRule="auto"/>
              <w:ind w:left="430" w:hanging="270"/>
            </w:pPr>
            <w:r w:rsidRPr="005B6AFB">
              <w:t>Paul Kig</w:t>
            </w:r>
            <w:r w:rsidR="001E3485" w:rsidRPr="005B6AFB">
              <w:t>g</w:t>
            </w:r>
            <w:r w:rsidRPr="005B6AFB">
              <w:t>we (WVI)</w:t>
            </w:r>
          </w:p>
          <w:p w14:paraId="4EF01AC5" w14:textId="2F62B3AB" w:rsidR="007E573D" w:rsidRPr="005B6AFB" w:rsidRDefault="001E3485" w:rsidP="003C3C3E">
            <w:pPr>
              <w:pStyle w:val="NoSpacing"/>
              <w:numPr>
                <w:ilvl w:val="0"/>
                <w:numId w:val="6"/>
              </w:numPr>
              <w:spacing w:line="360" w:lineRule="auto"/>
              <w:ind w:left="430" w:hanging="270"/>
            </w:pPr>
            <w:r w:rsidRPr="005B6AFB">
              <w:t xml:space="preserve">Youri </w:t>
            </w:r>
            <w:proofErr w:type="spellStart"/>
            <w:r w:rsidR="007E573D" w:rsidRPr="005B6AFB">
              <w:t>Fran</w:t>
            </w:r>
            <w:r w:rsidRPr="005B6AFB">
              <w:t>c</w:t>
            </w:r>
            <w:r w:rsidR="007E573D" w:rsidRPr="005B6AFB">
              <w:t>x</w:t>
            </w:r>
            <w:proofErr w:type="spellEnd"/>
            <w:r w:rsidR="007E573D" w:rsidRPr="005B6AFB">
              <w:t xml:space="preserve"> (</w:t>
            </w:r>
            <w:r w:rsidR="00CE348C" w:rsidRPr="005B6AFB">
              <w:t>H</w:t>
            </w:r>
            <w:r w:rsidR="0099017F" w:rsidRPr="005B6AFB">
              <w:t>I</w:t>
            </w:r>
            <w:r w:rsidR="007E573D" w:rsidRPr="005B6AFB">
              <w:t>)</w:t>
            </w:r>
          </w:p>
          <w:p w14:paraId="55BE127E" w14:textId="77777777" w:rsidR="000E4B94" w:rsidRPr="005B6AFB" w:rsidRDefault="000E4B94" w:rsidP="003C3C3E">
            <w:pPr>
              <w:pStyle w:val="NoSpacing"/>
              <w:numPr>
                <w:ilvl w:val="0"/>
                <w:numId w:val="6"/>
              </w:numPr>
              <w:spacing w:line="360" w:lineRule="auto"/>
              <w:ind w:left="430" w:hanging="270"/>
            </w:pPr>
            <w:r w:rsidRPr="005B6AFB">
              <w:t>Robert Dekker (WFP)</w:t>
            </w:r>
          </w:p>
          <w:p w14:paraId="7F644BD2" w14:textId="77777777" w:rsidR="000E4B94" w:rsidRPr="005B6AFB" w:rsidRDefault="000E4B94" w:rsidP="003C3C3E">
            <w:pPr>
              <w:pStyle w:val="NoSpacing"/>
              <w:numPr>
                <w:ilvl w:val="0"/>
                <w:numId w:val="6"/>
              </w:numPr>
              <w:spacing w:line="360" w:lineRule="auto"/>
              <w:ind w:left="430" w:hanging="270"/>
            </w:pPr>
            <w:r w:rsidRPr="005B6AFB">
              <w:t xml:space="preserve">Victoria </w:t>
            </w:r>
            <w:proofErr w:type="spellStart"/>
            <w:r w:rsidRPr="005B6AFB">
              <w:t>Kamukyaya</w:t>
            </w:r>
            <w:proofErr w:type="spellEnd"/>
            <w:r w:rsidRPr="005B6AFB">
              <w:t xml:space="preserve"> (</w:t>
            </w:r>
            <w:proofErr w:type="spellStart"/>
            <w:r w:rsidRPr="005B6AFB">
              <w:t>GiveDirectly</w:t>
            </w:r>
            <w:proofErr w:type="spellEnd"/>
            <w:r w:rsidRPr="005B6AFB">
              <w:t>)</w:t>
            </w:r>
          </w:p>
          <w:p w14:paraId="4ACC2AF1" w14:textId="77777777" w:rsidR="000E4B94" w:rsidRPr="005B6AFB" w:rsidRDefault="000E4B94" w:rsidP="003C3C3E">
            <w:pPr>
              <w:pStyle w:val="NoSpacing"/>
              <w:numPr>
                <w:ilvl w:val="0"/>
                <w:numId w:val="6"/>
              </w:numPr>
              <w:spacing w:line="360" w:lineRule="auto"/>
              <w:ind w:left="430" w:hanging="270"/>
            </w:pPr>
            <w:r w:rsidRPr="005B6AFB">
              <w:t>Ernest Achtell (DFID)</w:t>
            </w:r>
          </w:p>
          <w:p w14:paraId="731AC333" w14:textId="77777777" w:rsidR="000E4B94" w:rsidRPr="005B6AFB" w:rsidRDefault="000E4B94" w:rsidP="003C3C3E">
            <w:pPr>
              <w:pStyle w:val="NoSpacing"/>
              <w:numPr>
                <w:ilvl w:val="0"/>
                <w:numId w:val="6"/>
              </w:numPr>
              <w:spacing w:line="360" w:lineRule="auto"/>
              <w:ind w:left="430" w:hanging="270"/>
            </w:pPr>
            <w:r w:rsidRPr="005B6AFB">
              <w:t xml:space="preserve">Kiggudde </w:t>
            </w:r>
            <w:proofErr w:type="spellStart"/>
            <w:r w:rsidRPr="005B6AFB">
              <w:t>Deogratious</w:t>
            </w:r>
            <w:proofErr w:type="spellEnd"/>
            <w:r w:rsidRPr="005B6AFB">
              <w:t xml:space="preserve"> (HOT)</w:t>
            </w:r>
          </w:p>
          <w:p w14:paraId="44DED008" w14:textId="77777777" w:rsidR="000E4B94" w:rsidRPr="005B6AFB" w:rsidRDefault="00FA57A4" w:rsidP="003C3C3E">
            <w:pPr>
              <w:pStyle w:val="NoSpacing"/>
              <w:numPr>
                <w:ilvl w:val="0"/>
                <w:numId w:val="6"/>
              </w:numPr>
              <w:spacing w:line="360" w:lineRule="auto"/>
              <w:ind w:left="430" w:hanging="270"/>
            </w:pPr>
            <w:r w:rsidRPr="005B6AFB">
              <w:t>Tobby Ojok (DRC)</w:t>
            </w:r>
          </w:p>
          <w:p w14:paraId="3827C0C7" w14:textId="0BD7CA1C" w:rsidR="00FA57A4" w:rsidRPr="005B6AFB" w:rsidRDefault="00FA57A4" w:rsidP="003C3C3E">
            <w:pPr>
              <w:pStyle w:val="NoSpacing"/>
              <w:numPr>
                <w:ilvl w:val="0"/>
                <w:numId w:val="6"/>
              </w:numPr>
              <w:spacing w:line="360" w:lineRule="auto"/>
              <w:ind w:left="430" w:hanging="270"/>
            </w:pPr>
            <w:r w:rsidRPr="005B6AFB">
              <w:t>Hellen Smith (</w:t>
            </w:r>
            <w:proofErr w:type="spellStart"/>
            <w:r w:rsidRPr="005B6AFB">
              <w:t>CashCap</w:t>
            </w:r>
            <w:proofErr w:type="spellEnd"/>
            <w:r w:rsidRPr="005B6AFB">
              <w:t>)</w:t>
            </w:r>
          </w:p>
        </w:tc>
        <w:tc>
          <w:tcPr>
            <w:tcW w:w="4050" w:type="dxa"/>
          </w:tcPr>
          <w:p w14:paraId="681B5C9F" w14:textId="78937C9C" w:rsidR="007E573D" w:rsidRPr="005B6AFB" w:rsidRDefault="00FA57A4" w:rsidP="003C3C3E">
            <w:pPr>
              <w:pStyle w:val="NoSpacing"/>
              <w:numPr>
                <w:ilvl w:val="0"/>
                <w:numId w:val="6"/>
              </w:numPr>
              <w:spacing w:line="360" w:lineRule="auto"/>
              <w:ind w:left="430" w:hanging="270"/>
            </w:pPr>
            <w:r w:rsidRPr="005B6AFB">
              <w:t xml:space="preserve">Yoko </w:t>
            </w:r>
            <w:r w:rsidR="0075356E" w:rsidRPr="005B6AFB">
              <w:t>Iwasa</w:t>
            </w:r>
            <w:r w:rsidRPr="005B6AFB">
              <w:t xml:space="preserve"> (UNHCR)</w:t>
            </w:r>
          </w:p>
          <w:p w14:paraId="7CBD20CA" w14:textId="77777777" w:rsidR="007E573D" w:rsidRPr="005B6AFB" w:rsidRDefault="007E573D" w:rsidP="003C3C3E">
            <w:pPr>
              <w:pStyle w:val="NoSpacing"/>
              <w:numPr>
                <w:ilvl w:val="0"/>
                <w:numId w:val="6"/>
              </w:numPr>
              <w:spacing w:line="360" w:lineRule="auto"/>
              <w:ind w:left="430" w:hanging="270"/>
            </w:pPr>
            <w:r w:rsidRPr="005B6AFB">
              <w:t xml:space="preserve">Uma Mia </w:t>
            </w:r>
            <w:proofErr w:type="spellStart"/>
            <w:r w:rsidRPr="005B6AFB">
              <w:t>Luno</w:t>
            </w:r>
            <w:proofErr w:type="spellEnd"/>
            <w:r w:rsidRPr="005B6AFB">
              <w:t xml:space="preserve"> (DRC)</w:t>
            </w:r>
          </w:p>
          <w:p w14:paraId="7E9FEE33" w14:textId="77777777" w:rsidR="007E573D" w:rsidRPr="005B6AFB" w:rsidRDefault="007E573D" w:rsidP="003C3C3E">
            <w:pPr>
              <w:pStyle w:val="NoSpacing"/>
              <w:numPr>
                <w:ilvl w:val="0"/>
                <w:numId w:val="6"/>
              </w:numPr>
              <w:spacing w:line="360" w:lineRule="auto"/>
              <w:ind w:left="430" w:hanging="270"/>
            </w:pPr>
            <w:r w:rsidRPr="005B6AFB">
              <w:t>Mohamed Aly (UNHCR)</w:t>
            </w:r>
          </w:p>
          <w:p w14:paraId="58820E71" w14:textId="580353C8" w:rsidR="007E573D" w:rsidRPr="005B6AFB" w:rsidRDefault="007E573D" w:rsidP="003C3C3E">
            <w:pPr>
              <w:pStyle w:val="NoSpacing"/>
              <w:numPr>
                <w:ilvl w:val="0"/>
                <w:numId w:val="6"/>
              </w:numPr>
              <w:spacing w:line="360" w:lineRule="auto"/>
              <w:ind w:left="430" w:hanging="270"/>
            </w:pPr>
            <w:r w:rsidRPr="005B6AFB">
              <w:t>Bo Hurkman</w:t>
            </w:r>
            <w:r w:rsidR="004A6819" w:rsidRPr="005B6AFB">
              <w:t>s</w:t>
            </w:r>
            <w:r w:rsidRPr="005B6AFB">
              <w:t xml:space="preserve"> (UNHCR)</w:t>
            </w:r>
          </w:p>
          <w:p w14:paraId="5523A280" w14:textId="12B20EA1" w:rsidR="007E573D" w:rsidRPr="005B6AFB" w:rsidRDefault="007E573D" w:rsidP="003C3C3E">
            <w:pPr>
              <w:pStyle w:val="NoSpacing"/>
              <w:numPr>
                <w:ilvl w:val="0"/>
                <w:numId w:val="6"/>
              </w:numPr>
              <w:spacing w:line="360" w:lineRule="auto"/>
              <w:ind w:left="430" w:hanging="270"/>
            </w:pPr>
            <w:r w:rsidRPr="005B6AFB">
              <w:t>Kathryn Clark (</w:t>
            </w:r>
            <w:r w:rsidR="00CE348C" w:rsidRPr="005B6AFB">
              <w:t>FAO</w:t>
            </w:r>
            <w:r w:rsidRPr="005B6AFB">
              <w:t>)</w:t>
            </w:r>
          </w:p>
          <w:p w14:paraId="78660C82" w14:textId="60E88AE1" w:rsidR="007E573D" w:rsidRPr="005B6AFB" w:rsidRDefault="007E573D" w:rsidP="003C3C3E">
            <w:pPr>
              <w:pStyle w:val="NoSpacing"/>
              <w:numPr>
                <w:ilvl w:val="0"/>
                <w:numId w:val="6"/>
              </w:numPr>
              <w:spacing w:line="360" w:lineRule="auto"/>
              <w:ind w:left="430" w:hanging="270"/>
            </w:pPr>
            <w:r w:rsidRPr="005B6AFB">
              <w:t>Sarah</w:t>
            </w:r>
            <w:r w:rsidR="001E3485" w:rsidRPr="005B6AFB">
              <w:t xml:space="preserve"> Gilbert</w:t>
            </w:r>
            <w:r w:rsidRPr="005B6AFB">
              <w:t xml:space="preserve"> (CRS)</w:t>
            </w:r>
          </w:p>
          <w:p w14:paraId="5424D30C" w14:textId="6C3AD142" w:rsidR="000E4B94" w:rsidRPr="005B6AFB" w:rsidRDefault="000E4B94" w:rsidP="003C3C3E">
            <w:pPr>
              <w:pStyle w:val="NoSpacing"/>
              <w:numPr>
                <w:ilvl w:val="0"/>
                <w:numId w:val="6"/>
              </w:numPr>
              <w:spacing w:line="360" w:lineRule="auto"/>
              <w:ind w:left="430" w:hanging="270"/>
            </w:pPr>
            <w:r w:rsidRPr="005B6AFB">
              <w:t>Ojok Tonny Ongom (USAID)</w:t>
            </w:r>
          </w:p>
          <w:p w14:paraId="277AD261" w14:textId="473069F3" w:rsidR="000E4B94" w:rsidRPr="005B6AFB" w:rsidRDefault="000E4B94" w:rsidP="003C3C3E">
            <w:pPr>
              <w:pStyle w:val="NoSpacing"/>
              <w:numPr>
                <w:ilvl w:val="0"/>
                <w:numId w:val="6"/>
              </w:numPr>
              <w:spacing w:line="360" w:lineRule="auto"/>
              <w:ind w:left="430" w:hanging="270"/>
            </w:pPr>
            <w:r w:rsidRPr="005B6AFB">
              <w:t>Sumit Karn (UNICEF)</w:t>
            </w:r>
          </w:p>
          <w:p w14:paraId="275D6380" w14:textId="6B446F54" w:rsidR="000E4B94" w:rsidRPr="005B6AFB" w:rsidRDefault="000E4B94" w:rsidP="003C3C3E">
            <w:pPr>
              <w:pStyle w:val="NoSpacing"/>
              <w:numPr>
                <w:ilvl w:val="0"/>
                <w:numId w:val="6"/>
              </w:numPr>
              <w:spacing w:line="360" w:lineRule="auto"/>
              <w:ind w:left="430" w:hanging="270"/>
            </w:pPr>
            <w:r w:rsidRPr="005B6AFB">
              <w:t xml:space="preserve">Anders </w:t>
            </w:r>
            <w:proofErr w:type="spellStart"/>
            <w:r w:rsidRPr="005B6AFB">
              <w:t>Petersson</w:t>
            </w:r>
            <w:proofErr w:type="spellEnd"/>
            <w:r w:rsidRPr="005B6AFB">
              <w:t xml:space="preserve"> (WFP)</w:t>
            </w:r>
          </w:p>
          <w:p w14:paraId="3B6FDE8E" w14:textId="26278942" w:rsidR="000E4B94" w:rsidRPr="005B6AFB" w:rsidRDefault="000E4B94" w:rsidP="003C3C3E">
            <w:pPr>
              <w:pStyle w:val="NoSpacing"/>
              <w:numPr>
                <w:ilvl w:val="0"/>
                <w:numId w:val="6"/>
              </w:numPr>
              <w:spacing w:line="360" w:lineRule="auto"/>
              <w:ind w:left="430" w:hanging="270"/>
            </w:pPr>
            <w:r w:rsidRPr="005B6AFB">
              <w:t>Lisa Gutierrez (USAID)</w:t>
            </w:r>
          </w:p>
          <w:p w14:paraId="55C9625F" w14:textId="3E511525" w:rsidR="000E4B94" w:rsidRPr="005B6AFB" w:rsidRDefault="00FA57A4" w:rsidP="003C3C3E">
            <w:pPr>
              <w:pStyle w:val="NoSpacing"/>
              <w:numPr>
                <w:ilvl w:val="0"/>
                <w:numId w:val="6"/>
              </w:numPr>
              <w:spacing w:line="360" w:lineRule="auto"/>
              <w:ind w:left="430" w:hanging="270"/>
            </w:pPr>
            <w:r w:rsidRPr="005B6AFB">
              <w:t>Michael Ocircan (Save the Children)</w:t>
            </w:r>
          </w:p>
          <w:p w14:paraId="47A51078" w14:textId="1E297B1A" w:rsidR="00FA57A4" w:rsidRPr="005B6AFB" w:rsidRDefault="00FA57A4" w:rsidP="003C3C3E">
            <w:pPr>
              <w:pStyle w:val="NoSpacing"/>
              <w:numPr>
                <w:ilvl w:val="0"/>
                <w:numId w:val="6"/>
              </w:numPr>
              <w:spacing w:line="360" w:lineRule="auto"/>
              <w:ind w:left="430" w:hanging="270"/>
            </w:pPr>
            <w:r w:rsidRPr="005B6AFB">
              <w:t>Geofrey Arum (CARE)</w:t>
            </w:r>
          </w:p>
          <w:p w14:paraId="386465D1" w14:textId="0435C9E1" w:rsidR="00FA57A4" w:rsidRPr="005B6AFB" w:rsidRDefault="00FA57A4" w:rsidP="003C3C3E">
            <w:pPr>
              <w:pStyle w:val="NoSpacing"/>
              <w:numPr>
                <w:ilvl w:val="0"/>
                <w:numId w:val="6"/>
              </w:numPr>
              <w:spacing w:line="360" w:lineRule="auto"/>
              <w:ind w:left="430" w:hanging="270"/>
            </w:pPr>
            <w:r w:rsidRPr="005B6AFB">
              <w:t xml:space="preserve">Joseph </w:t>
            </w:r>
            <w:proofErr w:type="spellStart"/>
            <w:r w:rsidRPr="005B6AFB">
              <w:t>Kyanjo</w:t>
            </w:r>
            <w:proofErr w:type="spellEnd"/>
            <w:r w:rsidRPr="005B6AFB">
              <w:t xml:space="preserve"> (WFP)</w:t>
            </w:r>
          </w:p>
          <w:p w14:paraId="0BD76201" w14:textId="4D20768A" w:rsidR="00197087" w:rsidRPr="005B6AFB" w:rsidRDefault="00197087" w:rsidP="00197087">
            <w:pPr>
              <w:pStyle w:val="NoSpacing"/>
              <w:numPr>
                <w:ilvl w:val="0"/>
                <w:numId w:val="6"/>
              </w:numPr>
              <w:spacing w:line="360" w:lineRule="auto"/>
              <w:ind w:left="430" w:hanging="270"/>
            </w:pPr>
            <w:r w:rsidRPr="005B6AFB">
              <w:rPr>
                <w:rFonts w:eastAsia="Times New Roman"/>
              </w:rPr>
              <w:t>Laura Abril Rios Rivera (WB)</w:t>
            </w:r>
          </w:p>
          <w:p w14:paraId="60BF0959" w14:textId="066D0C32" w:rsidR="00197087" w:rsidRPr="005B6AFB" w:rsidRDefault="00197087" w:rsidP="003C3C3E">
            <w:pPr>
              <w:pStyle w:val="NoSpacing"/>
              <w:numPr>
                <w:ilvl w:val="0"/>
                <w:numId w:val="6"/>
              </w:numPr>
              <w:spacing w:line="360" w:lineRule="auto"/>
              <w:ind w:left="430" w:hanging="270"/>
            </w:pPr>
            <w:r w:rsidRPr="005B6AFB">
              <w:t>Kendrick Hung (Dalberg)</w:t>
            </w:r>
          </w:p>
          <w:p w14:paraId="7DFAD21B" w14:textId="61F008D9" w:rsidR="00CE348C" w:rsidRPr="005B6AFB" w:rsidRDefault="00CE348C" w:rsidP="00142879">
            <w:pPr>
              <w:pStyle w:val="NoSpacing"/>
              <w:spacing w:line="360" w:lineRule="auto"/>
              <w:ind w:left="430"/>
            </w:pPr>
          </w:p>
        </w:tc>
      </w:tr>
    </w:tbl>
    <w:p w14:paraId="11E4023A" w14:textId="330141BC" w:rsidR="0003153C" w:rsidRPr="005B6AFB" w:rsidRDefault="003A1632" w:rsidP="003C3C3E">
      <w:pPr>
        <w:pStyle w:val="ListParagraph"/>
        <w:numPr>
          <w:ilvl w:val="0"/>
          <w:numId w:val="4"/>
        </w:numPr>
        <w:jc w:val="both"/>
        <w:rPr>
          <w:b/>
        </w:rPr>
      </w:pPr>
      <w:r w:rsidRPr="005B6AFB">
        <w:rPr>
          <w:b/>
        </w:rPr>
        <w:t>VENA Update</w:t>
      </w:r>
      <w:r w:rsidR="00F9205E" w:rsidRPr="005B6AFB">
        <w:rPr>
          <w:b/>
        </w:rPr>
        <w:t>-Vulnerability analysis framework</w:t>
      </w:r>
    </w:p>
    <w:p w14:paraId="640C18DE" w14:textId="757B1FC5" w:rsidR="000609E6" w:rsidRPr="005B6AFB" w:rsidRDefault="000609E6" w:rsidP="003C3C3E">
      <w:pPr>
        <w:pStyle w:val="ListParagraph"/>
        <w:numPr>
          <w:ilvl w:val="0"/>
          <w:numId w:val="6"/>
        </w:numPr>
        <w:ind w:left="720" w:hanging="270"/>
        <w:jc w:val="both"/>
      </w:pPr>
      <w:r w:rsidRPr="005B6AFB">
        <w:t>Sectoral analysis</w:t>
      </w:r>
      <w:r w:rsidR="00081D05" w:rsidRPr="005B6AFB">
        <w:t xml:space="preserve"> and profiling</w:t>
      </w:r>
      <w:r w:rsidR="00C92D12" w:rsidRPr="005B6AFB">
        <w:t xml:space="preserve"> </w:t>
      </w:r>
    </w:p>
    <w:p w14:paraId="5CFAD42A" w14:textId="25CFC216" w:rsidR="00081D05" w:rsidRPr="005B6AFB" w:rsidRDefault="00C92D12" w:rsidP="00BC0480">
      <w:pPr>
        <w:pStyle w:val="ListParagraph"/>
        <w:numPr>
          <w:ilvl w:val="1"/>
          <w:numId w:val="6"/>
        </w:numPr>
        <w:jc w:val="both"/>
      </w:pPr>
      <w:r w:rsidRPr="005B6AFB">
        <w:t xml:space="preserve">Key sector-specific vulnerability indicators from consultations with sector co-leads were presented, except </w:t>
      </w:r>
      <w:r w:rsidR="00081D05" w:rsidRPr="005B6AFB">
        <w:t xml:space="preserve">for </w:t>
      </w:r>
      <w:r w:rsidRPr="005B6AFB">
        <w:t>protection, whose indicators have not been finalized.</w:t>
      </w:r>
      <w:r w:rsidR="00081D05" w:rsidRPr="005B6AFB">
        <w:t xml:space="preserve"> </w:t>
      </w:r>
      <w:r w:rsidR="008816CC" w:rsidRPr="005B6AFB">
        <w:t xml:space="preserve">The team has not </w:t>
      </w:r>
      <w:r w:rsidR="00736B5B" w:rsidRPr="005B6AFB">
        <w:t xml:space="preserve">yet </w:t>
      </w:r>
      <w:r w:rsidR="008816CC" w:rsidRPr="005B6AFB">
        <w:t>met with the sector leads for Environment &amp; Energy.</w:t>
      </w:r>
    </w:p>
    <w:p w14:paraId="51AC6704" w14:textId="77777777" w:rsidR="0058783A" w:rsidRPr="005B6AFB" w:rsidRDefault="00081D05" w:rsidP="00BC0480">
      <w:pPr>
        <w:pStyle w:val="ListParagraph"/>
        <w:numPr>
          <w:ilvl w:val="1"/>
          <w:numId w:val="6"/>
        </w:numPr>
        <w:jc w:val="both"/>
      </w:pPr>
      <w:r w:rsidRPr="005B6AFB">
        <w:t>See PowerPoint slides for the vulnerability analysis framework</w:t>
      </w:r>
      <w:r w:rsidR="0058783A" w:rsidRPr="005B6AFB">
        <w:t>s per sector.</w:t>
      </w:r>
    </w:p>
    <w:p w14:paraId="0355F8F5" w14:textId="0146C4A6" w:rsidR="00C92D12" w:rsidRPr="005B6AFB" w:rsidRDefault="0058783A" w:rsidP="00BC0480">
      <w:pPr>
        <w:pStyle w:val="ListParagraph"/>
        <w:numPr>
          <w:ilvl w:val="1"/>
          <w:numId w:val="6"/>
        </w:numPr>
        <w:jc w:val="both"/>
      </w:pPr>
      <w:r w:rsidRPr="005B6AFB">
        <w:t>Presentation of indicators found correlated to high economic vulnerability – see PowerPoint slides for specific indicators</w:t>
      </w:r>
      <w:r w:rsidR="00736B5B" w:rsidRPr="005B6AFB">
        <w:t>.</w:t>
      </w:r>
      <w:r w:rsidRPr="005B6AFB">
        <w:t xml:space="preserve"> </w:t>
      </w:r>
    </w:p>
    <w:p w14:paraId="6659E2A4" w14:textId="77777777" w:rsidR="00E64009" w:rsidRPr="005B6AFB" w:rsidRDefault="003D04FB" w:rsidP="00BC0480">
      <w:pPr>
        <w:pStyle w:val="ListParagraph"/>
        <w:numPr>
          <w:ilvl w:val="1"/>
          <w:numId w:val="6"/>
        </w:numPr>
        <w:jc w:val="both"/>
      </w:pPr>
      <w:r w:rsidRPr="005B6AFB">
        <w:t>Key questions for ATWG:</w:t>
      </w:r>
    </w:p>
    <w:p w14:paraId="56DB90E1" w14:textId="06AD97EB" w:rsidR="008C7D81" w:rsidRPr="005B6AFB" w:rsidRDefault="008C7D81" w:rsidP="00BC0480">
      <w:pPr>
        <w:pStyle w:val="ListParagraph"/>
        <w:numPr>
          <w:ilvl w:val="2"/>
          <w:numId w:val="6"/>
        </w:numPr>
      </w:pPr>
      <w:r w:rsidRPr="005B6AFB">
        <w:t xml:space="preserve">At the end of the VENA process, shall we know how many people will </w:t>
      </w:r>
      <w:r w:rsidR="0058783A" w:rsidRPr="005B6AFB">
        <w:t xml:space="preserve">be able to meet </w:t>
      </w:r>
      <w:r w:rsidR="00426B4E" w:rsidRPr="005B6AFB">
        <w:t xml:space="preserve">their </w:t>
      </w:r>
      <w:r w:rsidR="0058783A" w:rsidRPr="005B6AFB">
        <w:t xml:space="preserve">essential needs </w:t>
      </w:r>
      <w:r w:rsidRPr="005B6AFB">
        <w:t>without assistance?</w:t>
      </w:r>
    </w:p>
    <w:p w14:paraId="5F43AC30" w14:textId="2A9A5A9A" w:rsidR="008C7D81" w:rsidRPr="005B6AFB" w:rsidRDefault="008C7D81" w:rsidP="008C7D81">
      <w:pPr>
        <w:pStyle w:val="ListParagraph"/>
        <w:numPr>
          <w:ilvl w:val="0"/>
          <w:numId w:val="0"/>
        </w:numPr>
        <w:ind w:left="2160"/>
      </w:pPr>
      <w:r w:rsidRPr="005B6AFB">
        <w:t xml:space="preserve">Feedback: Based on the sample, </w:t>
      </w:r>
      <w:r w:rsidR="0058783A" w:rsidRPr="005B6AFB">
        <w:t xml:space="preserve">around </w:t>
      </w:r>
      <w:r w:rsidRPr="005B6AFB">
        <w:t xml:space="preserve">5% of the population are categorized </w:t>
      </w:r>
      <w:r w:rsidR="0058783A" w:rsidRPr="005B6AFB">
        <w:t xml:space="preserve">as </w:t>
      </w:r>
      <w:r w:rsidRPr="005B6AFB">
        <w:t xml:space="preserve">least vulnerable and </w:t>
      </w:r>
      <w:proofErr w:type="gramStart"/>
      <w:r w:rsidR="0058783A" w:rsidRPr="005B6AFB">
        <w:t>are able to</w:t>
      </w:r>
      <w:proofErr w:type="gramEnd"/>
      <w:r w:rsidR="0058783A" w:rsidRPr="005B6AFB">
        <w:t xml:space="preserve"> </w:t>
      </w:r>
      <w:r w:rsidRPr="005B6AFB">
        <w:t xml:space="preserve">meet their </w:t>
      </w:r>
      <w:r w:rsidR="0058783A" w:rsidRPr="005B6AFB">
        <w:t xml:space="preserve">basic </w:t>
      </w:r>
      <w:r w:rsidRPr="005B6AFB">
        <w:t>needs</w:t>
      </w:r>
      <w:r w:rsidR="0058783A" w:rsidRPr="005B6AFB">
        <w:t xml:space="preserve"> without assistance</w:t>
      </w:r>
      <w:r w:rsidRPr="005B6AFB">
        <w:t>.</w:t>
      </w:r>
    </w:p>
    <w:p w14:paraId="3C126D17" w14:textId="57093638" w:rsidR="008C7D81" w:rsidRPr="005B6AFB" w:rsidRDefault="008C7D81" w:rsidP="00E64009">
      <w:pPr>
        <w:pStyle w:val="ListParagraph"/>
        <w:numPr>
          <w:ilvl w:val="2"/>
          <w:numId w:val="6"/>
        </w:numPr>
      </w:pPr>
      <w:r w:rsidRPr="005B6AFB">
        <w:t xml:space="preserve">The last </w:t>
      </w:r>
      <w:r w:rsidR="0058783A" w:rsidRPr="005B6AFB">
        <w:t xml:space="preserve">indicator </w:t>
      </w:r>
      <w:r w:rsidRPr="005B6AFB">
        <w:t xml:space="preserve">to categorize people by economic vulnerability is </w:t>
      </w:r>
      <w:r w:rsidR="0058783A" w:rsidRPr="005B6AFB">
        <w:t>food consumption score</w:t>
      </w:r>
      <w:r w:rsidRPr="005B6AFB">
        <w:t xml:space="preserve">. How can we know that those classified as least vulnerable are able to meet their needs if FCS is based on consumption from </w:t>
      </w:r>
      <w:r w:rsidR="00A616D9" w:rsidRPr="005B6AFB">
        <w:t>food assistance?</w:t>
      </w:r>
    </w:p>
    <w:p w14:paraId="7C276583" w14:textId="15C4AC3D" w:rsidR="0058783A" w:rsidRPr="005B6AFB" w:rsidRDefault="0058783A" w:rsidP="005B6AFB">
      <w:pPr>
        <w:pStyle w:val="ListParagraph"/>
        <w:numPr>
          <w:ilvl w:val="0"/>
          <w:numId w:val="0"/>
        </w:numPr>
        <w:ind w:left="2160"/>
      </w:pPr>
      <w:r w:rsidRPr="005B6AFB">
        <w:lastRenderedPageBreak/>
        <w:t>Feedback: The inclusion of the FCS indicator serves as a safety net to ensure households that have high economic capacity and are not using coping mechanisms, but have poor FCS</w:t>
      </w:r>
      <w:r w:rsidR="00A61F07" w:rsidRPr="005B6AFB">
        <w:t>, are not excluded from assistance.</w:t>
      </w:r>
    </w:p>
    <w:p w14:paraId="15FE6CCA" w14:textId="4B6A0ACB" w:rsidR="00405A76" w:rsidRPr="005B6AFB" w:rsidRDefault="00405A76" w:rsidP="00E64009">
      <w:pPr>
        <w:pStyle w:val="ListParagraph"/>
        <w:numPr>
          <w:ilvl w:val="2"/>
          <w:numId w:val="6"/>
        </w:numPr>
      </w:pPr>
      <w:r w:rsidRPr="005B6AFB">
        <w:t>For livelihoods, have you considered separating single or multiple livelihoods into different high/low vulnerability classifications? And similarly, what about the division of agriculture-based or non-agriculture-based livelihoods vulnerability groups?</w:t>
      </w:r>
    </w:p>
    <w:p w14:paraId="2B02AA7E" w14:textId="0486A77A" w:rsidR="00997B36" w:rsidRPr="005B6AFB" w:rsidRDefault="00997B36" w:rsidP="00E64009">
      <w:pPr>
        <w:pStyle w:val="ListParagraph"/>
        <w:numPr>
          <w:ilvl w:val="2"/>
          <w:numId w:val="6"/>
        </w:numPr>
      </w:pPr>
      <w:r w:rsidRPr="005B6AFB">
        <w:t xml:space="preserve">Under health sector, the indicator of having received treatment is narrow. </w:t>
      </w:r>
      <w:r w:rsidR="00A61F07" w:rsidRPr="005B6AFB">
        <w:t xml:space="preserve">A household member may have received </w:t>
      </w:r>
      <w:proofErr w:type="gramStart"/>
      <w:r w:rsidR="00A61F07" w:rsidRPr="005B6AFB">
        <w:t>treatment</w:t>
      </w:r>
      <w:proofErr w:type="gramEnd"/>
      <w:r w:rsidR="00A61F07" w:rsidRPr="005B6AFB">
        <w:t xml:space="preserve"> but it does not measure whether or not the treatment was successful. The 30-day recall period also does not capture longer-term, sustained health care needs, and is very </w:t>
      </w:r>
      <w:proofErr w:type="gramStart"/>
      <w:r w:rsidR="00A61F07" w:rsidRPr="005B6AFB">
        <w:t>medically-focused</w:t>
      </w:r>
      <w:proofErr w:type="gramEnd"/>
      <w:r w:rsidR="00A61F07" w:rsidRPr="005B6AFB">
        <w:t xml:space="preserve">. </w:t>
      </w:r>
      <w:r w:rsidRPr="005B6AFB">
        <w:t>There may be a need to explore other issues beyond received treatment or not.</w:t>
      </w:r>
      <w:r w:rsidR="00A61F07" w:rsidRPr="005B6AFB">
        <w:t xml:space="preserve"> The estimated distance/travel time should be measured in walking time</w:t>
      </w:r>
      <w:r w:rsidR="008816CC" w:rsidRPr="005B6AFB">
        <w:t xml:space="preserve"> (as was done for Education)</w:t>
      </w:r>
      <w:r w:rsidR="00A61F07" w:rsidRPr="005B6AFB">
        <w:t>, as the 5km standard is different for everyone (i.e. a person who is disabled or sick/weak and walks slower).</w:t>
      </w:r>
    </w:p>
    <w:p w14:paraId="7488465C" w14:textId="0FD33856" w:rsidR="00997B36" w:rsidRPr="005B6AFB" w:rsidRDefault="00A865D1" w:rsidP="00997B36">
      <w:pPr>
        <w:pStyle w:val="ListParagraph"/>
        <w:numPr>
          <w:ilvl w:val="2"/>
          <w:numId w:val="6"/>
        </w:numPr>
      </w:pPr>
      <w:r w:rsidRPr="005B6AFB">
        <w:t>For WASH, the latrine indicator</w:t>
      </w:r>
      <w:r w:rsidR="0014387D" w:rsidRPr="005B6AFB">
        <w:t xml:space="preserve"> on type of toilet facility fails to cap</w:t>
      </w:r>
      <w:r w:rsidR="008816CC" w:rsidRPr="005B6AFB">
        <w:t>t</w:t>
      </w:r>
      <w:r w:rsidR="0014387D" w:rsidRPr="005B6AFB">
        <w:t xml:space="preserve">ure accessibility and use. A household may have a functioning toilet, but if someone cannot access or use it, then the facility type should not be the only criteria. Reconsider including </w:t>
      </w:r>
      <w:proofErr w:type="gramStart"/>
      <w:r w:rsidR="0014387D" w:rsidRPr="005B6AFB">
        <w:t>whether or not</w:t>
      </w:r>
      <w:proofErr w:type="gramEnd"/>
      <w:r w:rsidR="0014387D" w:rsidRPr="005B6AFB">
        <w:t xml:space="preserve"> all household members have access to/are using the toilet facility to determine vulnerability.</w:t>
      </w:r>
    </w:p>
    <w:p w14:paraId="03A370B8" w14:textId="64CA274F" w:rsidR="0020115F" w:rsidRPr="005B6AFB" w:rsidRDefault="0014387D" w:rsidP="00997B36">
      <w:pPr>
        <w:pStyle w:val="ListParagraph"/>
        <w:numPr>
          <w:ilvl w:val="2"/>
          <w:numId w:val="6"/>
        </w:numPr>
      </w:pPr>
      <w:r w:rsidRPr="005B6AFB">
        <w:t>For Shelter, the presence of certain PSNs were included in the framework, but not others. Are there other specific PSNs that should be included?</w:t>
      </w:r>
      <w:r w:rsidR="008816CC" w:rsidRPr="005B6AFB">
        <w:t xml:space="preserve"> This also applies to Education.</w:t>
      </w:r>
    </w:p>
    <w:p w14:paraId="67BA63B8" w14:textId="1A4B016C" w:rsidR="008816CC" w:rsidRPr="005B6AFB" w:rsidRDefault="00677779" w:rsidP="008816CC">
      <w:pPr>
        <w:pStyle w:val="ListParagraph"/>
        <w:numPr>
          <w:ilvl w:val="2"/>
          <w:numId w:val="6"/>
        </w:numPr>
      </w:pPr>
      <w:r w:rsidRPr="005B6AFB">
        <w:t>For clarification, add “OR” to the frameworks, indicating that a household needs to meet only one of the criteria to be categorized as having high sector vulnerability.</w:t>
      </w:r>
      <w:r w:rsidR="008816CC" w:rsidRPr="005B6AFB">
        <w:t xml:space="preserve"> In addition, compound questions need to be split to ensure accuracy in the analysis</w:t>
      </w:r>
      <w:r w:rsidR="00A03B78" w:rsidRPr="005B6AFB">
        <w:t>. For instance,</w:t>
      </w:r>
      <w:r w:rsidR="008816CC" w:rsidRPr="005B6AFB">
        <w:t xml:space="preserve"> “Had sick members in the past 30 days that received treatment”, this requires the presence of two conditions: sick HH member </w:t>
      </w:r>
      <w:r w:rsidR="00EB4661" w:rsidRPr="005B6AFB">
        <w:t>AND</w:t>
      </w:r>
      <w:r w:rsidR="008816CC" w:rsidRPr="005B6AFB">
        <w:t xml:space="preserve"> receiving treatment. However, a sick HH member that did not receive treatment is probably even more vulnerable.</w:t>
      </w:r>
    </w:p>
    <w:p w14:paraId="7F5748E9" w14:textId="65E0D0AF" w:rsidR="00936AD7" w:rsidRDefault="008816CC" w:rsidP="005B6AFB">
      <w:pPr>
        <w:pStyle w:val="ListParagraph"/>
        <w:numPr>
          <w:ilvl w:val="2"/>
          <w:numId w:val="6"/>
        </w:numPr>
      </w:pPr>
      <w:r w:rsidRPr="005B6AFB">
        <w:t>The inclusion of “High”, “Medium” and “Low” sector vulnerability (such as for Shelter and WASH) vs. just “High” and “Low” is at the discretion of the sector leads</w:t>
      </w:r>
      <w:r w:rsidR="00EB4661" w:rsidRPr="005B6AFB">
        <w:t>, however, the latter is preferred</w:t>
      </w:r>
      <w:r w:rsidRPr="005B6AFB">
        <w:t>.</w:t>
      </w:r>
    </w:p>
    <w:p w14:paraId="7CB2ADD3" w14:textId="6DC37933" w:rsidR="0054256C" w:rsidRDefault="0054256C" w:rsidP="0054256C">
      <w:pPr>
        <w:pStyle w:val="ListParagraph"/>
        <w:numPr>
          <w:ilvl w:val="0"/>
          <w:numId w:val="0"/>
        </w:numPr>
        <w:ind w:left="2160"/>
      </w:pPr>
    </w:p>
    <w:p w14:paraId="7F0D9BF9" w14:textId="4825A8CD" w:rsidR="0054256C" w:rsidRDefault="0054256C" w:rsidP="0054256C">
      <w:pPr>
        <w:pStyle w:val="ListParagraph"/>
        <w:numPr>
          <w:ilvl w:val="0"/>
          <w:numId w:val="0"/>
        </w:numPr>
        <w:ind w:left="2160"/>
      </w:pPr>
    </w:p>
    <w:p w14:paraId="67C9985D" w14:textId="3BE70419" w:rsidR="0054256C" w:rsidRDefault="0054256C" w:rsidP="0054256C">
      <w:pPr>
        <w:pStyle w:val="ListParagraph"/>
        <w:numPr>
          <w:ilvl w:val="0"/>
          <w:numId w:val="0"/>
        </w:numPr>
        <w:ind w:left="2160"/>
      </w:pPr>
    </w:p>
    <w:p w14:paraId="28950488" w14:textId="77777777" w:rsidR="0054256C" w:rsidRPr="005B6AFB" w:rsidRDefault="0054256C" w:rsidP="0054256C">
      <w:pPr>
        <w:pStyle w:val="ListParagraph"/>
        <w:numPr>
          <w:ilvl w:val="0"/>
          <w:numId w:val="0"/>
        </w:numPr>
        <w:ind w:left="2160"/>
      </w:pPr>
      <w:bookmarkStart w:id="0" w:name="_GoBack"/>
      <w:bookmarkEnd w:id="0"/>
    </w:p>
    <w:p w14:paraId="78EC183B" w14:textId="5460A3C8" w:rsidR="00EB4661" w:rsidRPr="005B6AFB" w:rsidRDefault="00EB4661" w:rsidP="00EB4661">
      <w:pPr>
        <w:pStyle w:val="ListParagraph"/>
        <w:numPr>
          <w:ilvl w:val="0"/>
          <w:numId w:val="4"/>
        </w:numPr>
        <w:rPr>
          <w:b/>
        </w:rPr>
      </w:pPr>
      <w:r w:rsidRPr="005B6AFB">
        <w:rPr>
          <w:b/>
        </w:rPr>
        <w:lastRenderedPageBreak/>
        <w:t>UNHCR Individual Refugee Profiling feedback on questionnaire</w:t>
      </w:r>
    </w:p>
    <w:p w14:paraId="456820FE" w14:textId="772F1B2F" w:rsidR="00EB4661" w:rsidRPr="005B6AFB" w:rsidRDefault="00EB4661" w:rsidP="00EB4661">
      <w:pPr>
        <w:pStyle w:val="ListParagraph"/>
        <w:numPr>
          <w:ilvl w:val="0"/>
          <w:numId w:val="6"/>
        </w:numPr>
        <w:ind w:left="720" w:hanging="270"/>
        <w:jc w:val="both"/>
        <w:rPr>
          <w:bCs/>
        </w:rPr>
      </w:pPr>
      <w:r w:rsidRPr="005B6AFB">
        <w:rPr>
          <w:bCs/>
        </w:rPr>
        <w:t>DRC asked about the need to collect certain details about HH (phone, location with GPS coordinates etc.), the possible use of the reduced Coping Strategy Index</w:t>
      </w:r>
      <w:r w:rsidR="009D0DEF" w:rsidRPr="005B6AFB">
        <w:rPr>
          <w:bCs/>
        </w:rPr>
        <w:t xml:space="preserve"> (</w:t>
      </w:r>
      <w:proofErr w:type="spellStart"/>
      <w:r w:rsidR="009D0DEF" w:rsidRPr="005B6AFB">
        <w:rPr>
          <w:bCs/>
        </w:rPr>
        <w:t>rCSI</w:t>
      </w:r>
      <w:proofErr w:type="spellEnd"/>
      <w:r w:rsidR="009D0DEF" w:rsidRPr="005B6AFB">
        <w:rPr>
          <w:bCs/>
        </w:rPr>
        <w:t>)</w:t>
      </w:r>
      <w:r w:rsidRPr="005B6AFB">
        <w:rPr>
          <w:bCs/>
        </w:rPr>
        <w:t xml:space="preserve"> score and how to avoid bias in expenditure questions.</w:t>
      </w:r>
    </w:p>
    <w:p w14:paraId="6FDEDCDA" w14:textId="6CCD9887" w:rsidR="009D0DEF" w:rsidRPr="005B6AFB" w:rsidRDefault="009D0DEF" w:rsidP="005B6AFB">
      <w:pPr>
        <w:pStyle w:val="ListParagraph"/>
        <w:numPr>
          <w:ilvl w:val="1"/>
          <w:numId w:val="6"/>
        </w:numPr>
        <w:jc w:val="both"/>
        <w:rPr>
          <w:bCs/>
        </w:rPr>
      </w:pPr>
      <w:r w:rsidRPr="005B6AFB">
        <w:rPr>
          <w:bCs/>
        </w:rPr>
        <w:t xml:space="preserve">The response from UNHCR was that phone numbers would not be asked as they are provided by UCC, however, the GPS location is needed as this is currently not available. The reduced CSI only contains questions related to food security, so the full CSI index is preferred. The expenditure questions are based on the VENA module and have been slightly expanded on, hopefully this will address the </w:t>
      </w:r>
      <w:r w:rsidR="00294474" w:rsidRPr="005B6AFB">
        <w:rPr>
          <w:bCs/>
        </w:rPr>
        <w:t xml:space="preserve">issue of </w:t>
      </w:r>
      <w:r w:rsidRPr="005B6AFB">
        <w:rPr>
          <w:bCs/>
        </w:rPr>
        <w:t>bias.</w:t>
      </w:r>
    </w:p>
    <w:p w14:paraId="088074FD" w14:textId="4C9A156C" w:rsidR="00EB4661" w:rsidRPr="005B6AFB" w:rsidRDefault="00EB4661" w:rsidP="00EB4661">
      <w:pPr>
        <w:pStyle w:val="ListParagraph"/>
        <w:numPr>
          <w:ilvl w:val="0"/>
          <w:numId w:val="6"/>
        </w:numPr>
        <w:ind w:left="720" w:hanging="270"/>
        <w:jc w:val="both"/>
        <w:rPr>
          <w:bCs/>
        </w:rPr>
      </w:pPr>
      <w:r w:rsidRPr="005B6AFB">
        <w:rPr>
          <w:bCs/>
        </w:rPr>
        <w:t xml:space="preserve">REACH asked about how </w:t>
      </w:r>
      <w:r w:rsidR="00027EB7" w:rsidRPr="005B6AFB">
        <w:rPr>
          <w:bCs/>
        </w:rPr>
        <w:t>any changes in family composition will be incorporated</w:t>
      </w:r>
      <w:r w:rsidRPr="005B6AFB">
        <w:rPr>
          <w:bCs/>
        </w:rPr>
        <w:t xml:space="preserve"> into </w:t>
      </w:r>
      <w:proofErr w:type="spellStart"/>
      <w:r w:rsidR="00027EB7" w:rsidRPr="005B6AFB">
        <w:rPr>
          <w:bCs/>
        </w:rPr>
        <w:t>proGres</w:t>
      </w:r>
      <w:proofErr w:type="spellEnd"/>
      <w:r w:rsidR="00027EB7" w:rsidRPr="005B6AFB">
        <w:rPr>
          <w:bCs/>
        </w:rPr>
        <w:t>, as this requires referral to OPM</w:t>
      </w:r>
      <w:r w:rsidR="004C6ED4" w:rsidRPr="005B6AFB">
        <w:rPr>
          <w:bCs/>
        </w:rPr>
        <w:t xml:space="preserve">. </w:t>
      </w:r>
      <w:r w:rsidR="0008015A" w:rsidRPr="005B6AFB">
        <w:rPr>
          <w:bCs/>
        </w:rPr>
        <w:t>REACH also asked whether the exercise will cover urban refugees and how data quality will be ensured.</w:t>
      </w:r>
    </w:p>
    <w:p w14:paraId="52888C70" w14:textId="736C473B" w:rsidR="007C6EF0" w:rsidRPr="005B6AFB" w:rsidRDefault="00494A6D" w:rsidP="005B6AFB">
      <w:pPr>
        <w:pStyle w:val="ListParagraph"/>
        <w:numPr>
          <w:ilvl w:val="1"/>
          <w:numId w:val="6"/>
        </w:numPr>
        <w:jc w:val="both"/>
        <w:rPr>
          <w:bCs/>
        </w:rPr>
      </w:pPr>
      <w:proofErr w:type="spellStart"/>
      <w:r w:rsidRPr="005B6AFB">
        <w:rPr>
          <w:bCs/>
        </w:rPr>
        <w:t>ProGres</w:t>
      </w:r>
      <w:proofErr w:type="spellEnd"/>
      <w:r w:rsidRPr="005B6AFB">
        <w:rPr>
          <w:bCs/>
        </w:rPr>
        <w:t xml:space="preserve"> allows the establishment of individual linkages</w:t>
      </w:r>
      <w:r w:rsidR="00846876" w:rsidRPr="005B6AFB">
        <w:rPr>
          <w:bCs/>
        </w:rPr>
        <w:t xml:space="preserve">, this </w:t>
      </w:r>
      <w:r w:rsidR="0094054A" w:rsidRPr="005B6AFB">
        <w:rPr>
          <w:bCs/>
        </w:rPr>
        <w:t xml:space="preserve">means </w:t>
      </w:r>
      <w:r w:rsidR="00F4678A" w:rsidRPr="005B6AFB">
        <w:rPr>
          <w:bCs/>
        </w:rPr>
        <w:t xml:space="preserve">both the registration composition and the newly collected composition </w:t>
      </w:r>
      <w:r w:rsidR="0094054A" w:rsidRPr="005B6AFB">
        <w:rPr>
          <w:bCs/>
        </w:rPr>
        <w:t xml:space="preserve">can be preserved </w:t>
      </w:r>
      <w:r w:rsidR="00F4678A" w:rsidRPr="005B6AFB">
        <w:rPr>
          <w:bCs/>
        </w:rPr>
        <w:t xml:space="preserve">during the exercise while OPM processes the </w:t>
      </w:r>
      <w:r w:rsidR="009B0D51" w:rsidRPr="005B6AFB">
        <w:rPr>
          <w:bCs/>
        </w:rPr>
        <w:t>updates.</w:t>
      </w:r>
      <w:r w:rsidR="00A92710" w:rsidRPr="005B6AFB">
        <w:rPr>
          <w:bCs/>
        </w:rPr>
        <w:t xml:space="preserve"> Urban refugees are not covered </w:t>
      </w:r>
      <w:r w:rsidR="00C23383" w:rsidRPr="005B6AFB">
        <w:rPr>
          <w:bCs/>
        </w:rPr>
        <w:t>for the time being</w:t>
      </w:r>
      <w:r w:rsidR="001D5902" w:rsidRPr="005B6AFB">
        <w:rPr>
          <w:bCs/>
        </w:rPr>
        <w:t>.</w:t>
      </w:r>
      <w:r w:rsidR="00C23383" w:rsidRPr="005B6AFB">
        <w:rPr>
          <w:bCs/>
        </w:rPr>
        <w:t xml:space="preserve"> </w:t>
      </w:r>
      <w:r w:rsidR="001D5902" w:rsidRPr="005B6AFB">
        <w:rPr>
          <w:bCs/>
        </w:rPr>
        <w:t>D</w:t>
      </w:r>
      <w:r w:rsidR="00C23383" w:rsidRPr="005B6AFB">
        <w:rPr>
          <w:bCs/>
        </w:rPr>
        <w:t xml:space="preserve">ata quality will be ensured through </w:t>
      </w:r>
      <w:r w:rsidR="00FB76C1" w:rsidRPr="005B6AFB">
        <w:rPr>
          <w:bCs/>
        </w:rPr>
        <w:t xml:space="preserve">thorough </w:t>
      </w:r>
      <w:r w:rsidR="00C23383" w:rsidRPr="005B6AFB">
        <w:rPr>
          <w:bCs/>
        </w:rPr>
        <w:t xml:space="preserve">enumerator training and </w:t>
      </w:r>
      <w:r w:rsidR="00D41633" w:rsidRPr="005B6AFB">
        <w:rPr>
          <w:bCs/>
        </w:rPr>
        <w:t xml:space="preserve">close </w:t>
      </w:r>
      <w:r w:rsidR="00C23383" w:rsidRPr="005B6AFB">
        <w:rPr>
          <w:bCs/>
        </w:rPr>
        <w:t>monitoring of the d</w:t>
      </w:r>
      <w:r w:rsidR="00D41633" w:rsidRPr="005B6AFB">
        <w:rPr>
          <w:bCs/>
        </w:rPr>
        <w:t>ata as it is being collected.</w:t>
      </w:r>
      <w:r w:rsidR="001D5902" w:rsidRPr="005B6AFB">
        <w:rPr>
          <w:bCs/>
        </w:rPr>
        <w:t xml:space="preserve"> </w:t>
      </w:r>
    </w:p>
    <w:p w14:paraId="015B19E0" w14:textId="77777777" w:rsidR="007C6EF0" w:rsidRPr="005B6AFB" w:rsidRDefault="00027EB7" w:rsidP="007C6EF0">
      <w:pPr>
        <w:pStyle w:val="ListParagraph"/>
        <w:numPr>
          <w:ilvl w:val="0"/>
          <w:numId w:val="6"/>
        </w:numPr>
        <w:ind w:left="720" w:hanging="270"/>
        <w:jc w:val="both"/>
        <w:rPr>
          <w:bCs/>
        </w:rPr>
      </w:pPr>
      <w:r w:rsidRPr="005B6AFB">
        <w:rPr>
          <w:bCs/>
        </w:rPr>
        <w:t>HI asked about the household approach with regards to PSN identification, inclusion of the Washington Group short set of questions, inclusion of questions related to MHPSS, accessibility of the shelter and WASH facilities for persons with mobility issues</w:t>
      </w:r>
      <w:r w:rsidR="009D0DEF" w:rsidRPr="005B6AFB">
        <w:rPr>
          <w:bCs/>
        </w:rPr>
        <w:t>, how to capture unmet needs and finally how to link this exercise to the referral process.</w:t>
      </w:r>
    </w:p>
    <w:p w14:paraId="5C9E8BB1" w14:textId="539372E8" w:rsidR="00EB4661" w:rsidRPr="005B6AFB" w:rsidRDefault="009D0DEF" w:rsidP="007C6EF0">
      <w:pPr>
        <w:pStyle w:val="ListParagraph"/>
        <w:numPr>
          <w:ilvl w:val="1"/>
          <w:numId w:val="6"/>
        </w:numPr>
        <w:jc w:val="both"/>
        <w:rPr>
          <w:rFonts w:eastAsia="Times New Roman"/>
        </w:rPr>
      </w:pPr>
      <w:r w:rsidRPr="005B6AFB">
        <w:rPr>
          <w:rFonts w:eastAsia="Times New Roman"/>
        </w:rPr>
        <w:t>UNHCR agrees that questions related to individuals in the household, and particularly questions relating to PSN categories, should be asked directly to the person concerned as far as possible. The short set of Washington Group questions will be written into the questionnaire, as well as the six questions from the WHO-UNHCR Assessment Schedule of Serious Symptoms in Humanitarian settings. Questions have also been added to the shelter and WASH sections to assess whether all members of the household are able to access these facilities (if they exist). However, information on unmet needs could be better collected through another medium, such as focus group discussions.</w:t>
      </w:r>
      <w:r w:rsidR="007C6EF0" w:rsidRPr="005B6AFB">
        <w:rPr>
          <w:rFonts w:eastAsia="Times New Roman"/>
        </w:rPr>
        <w:t xml:space="preserve"> Referrals will be able to be made by the enumerator in the questionnaire and there will also be certain categories which will be automatically flagged for referral </w:t>
      </w:r>
      <w:r w:rsidR="008C4B0A" w:rsidRPr="005B6AFB">
        <w:rPr>
          <w:rFonts w:eastAsia="Times New Roman"/>
        </w:rPr>
        <w:t>whether</w:t>
      </w:r>
      <w:r w:rsidR="007C6EF0" w:rsidRPr="005B6AFB">
        <w:rPr>
          <w:rFonts w:eastAsia="Times New Roman"/>
        </w:rPr>
        <w:t xml:space="preserve"> this has been specified by the enumerator</w:t>
      </w:r>
      <w:r w:rsidR="008C4B0A" w:rsidRPr="005B6AFB">
        <w:rPr>
          <w:rFonts w:eastAsia="Times New Roman"/>
        </w:rPr>
        <w:t xml:space="preserve"> or not</w:t>
      </w:r>
      <w:r w:rsidR="007C6EF0" w:rsidRPr="005B6AFB">
        <w:rPr>
          <w:rFonts w:eastAsia="Times New Roman"/>
        </w:rPr>
        <w:t>.</w:t>
      </w:r>
    </w:p>
    <w:p w14:paraId="700A8702" w14:textId="1279E2A6" w:rsidR="00067416" w:rsidRPr="005B6AFB" w:rsidRDefault="008E22E8" w:rsidP="008E22E8">
      <w:pPr>
        <w:pStyle w:val="ListParagraph"/>
        <w:numPr>
          <w:ilvl w:val="0"/>
          <w:numId w:val="6"/>
        </w:numPr>
        <w:jc w:val="both"/>
        <w:rPr>
          <w:bCs/>
        </w:rPr>
      </w:pPr>
      <w:r w:rsidRPr="005B6AFB">
        <w:rPr>
          <w:bCs/>
        </w:rPr>
        <w:t xml:space="preserve">PRM asked how the </w:t>
      </w:r>
      <w:r w:rsidR="00CA74E2" w:rsidRPr="005B6AFB">
        <w:rPr>
          <w:bCs/>
        </w:rPr>
        <w:t xml:space="preserve">profiling </w:t>
      </w:r>
      <w:r w:rsidRPr="005B6AFB">
        <w:rPr>
          <w:bCs/>
        </w:rPr>
        <w:t xml:space="preserve">will be implemented, as part of ongoing assessments or as a separate data collection </w:t>
      </w:r>
      <w:r w:rsidR="00CA74E2" w:rsidRPr="005B6AFB">
        <w:rPr>
          <w:bCs/>
        </w:rPr>
        <w:t>exercise?</w:t>
      </w:r>
    </w:p>
    <w:p w14:paraId="68F8C754" w14:textId="58885FBA" w:rsidR="00CA74E2" w:rsidRPr="005B6AFB" w:rsidRDefault="00CA74E2" w:rsidP="00CA74E2">
      <w:pPr>
        <w:pStyle w:val="ListParagraph"/>
        <w:numPr>
          <w:ilvl w:val="1"/>
          <w:numId w:val="6"/>
        </w:numPr>
        <w:jc w:val="both"/>
        <w:rPr>
          <w:rFonts w:eastAsia="Times New Roman"/>
        </w:rPr>
      </w:pPr>
      <w:r w:rsidRPr="005B6AFB">
        <w:rPr>
          <w:rFonts w:eastAsia="Times New Roman"/>
        </w:rPr>
        <w:t xml:space="preserve">The data will be collected </w:t>
      </w:r>
      <w:r w:rsidR="007D33F3" w:rsidRPr="005B6AFB">
        <w:rPr>
          <w:rFonts w:eastAsia="Times New Roman"/>
        </w:rPr>
        <w:t xml:space="preserve">separately </w:t>
      </w:r>
      <w:r w:rsidR="00735876" w:rsidRPr="005B6AFB">
        <w:rPr>
          <w:rFonts w:eastAsia="Times New Roman"/>
        </w:rPr>
        <w:t xml:space="preserve">in the </w:t>
      </w:r>
      <w:r w:rsidR="007D33F3" w:rsidRPr="005B6AFB">
        <w:rPr>
          <w:rFonts w:eastAsia="Times New Roman"/>
        </w:rPr>
        <w:t xml:space="preserve">first phase, in the second phase partners and UNHCR staff will ensure </w:t>
      </w:r>
      <w:r w:rsidR="00735876" w:rsidRPr="005B6AFB">
        <w:rPr>
          <w:rFonts w:eastAsia="Times New Roman"/>
        </w:rPr>
        <w:t>maintenance of the data</w:t>
      </w:r>
      <w:r w:rsidR="007D33F3" w:rsidRPr="005B6AFB">
        <w:rPr>
          <w:rFonts w:eastAsia="Times New Roman"/>
        </w:rPr>
        <w:t>.</w:t>
      </w:r>
      <w:r w:rsidR="00DA4A5B" w:rsidRPr="005B6AFB">
        <w:rPr>
          <w:rFonts w:eastAsia="Times New Roman"/>
        </w:rPr>
        <w:t xml:space="preserve"> Planned data collections </w:t>
      </w:r>
      <w:r w:rsidR="00DD191A" w:rsidRPr="005B6AFB">
        <w:rPr>
          <w:rFonts w:eastAsia="Times New Roman"/>
        </w:rPr>
        <w:t>should</w:t>
      </w:r>
      <w:r w:rsidR="00DA4A5B" w:rsidRPr="005B6AFB">
        <w:rPr>
          <w:rFonts w:eastAsia="Times New Roman"/>
        </w:rPr>
        <w:t xml:space="preserve"> be integrated </w:t>
      </w:r>
      <w:r w:rsidR="00DD191A" w:rsidRPr="005B6AFB">
        <w:rPr>
          <w:rFonts w:eastAsia="Times New Roman"/>
        </w:rPr>
        <w:t>into the profiling exercise as much as possible. For instance, the multi-dimensional poverty index (MPI) from UNDP will be included</w:t>
      </w:r>
      <w:r w:rsidR="001E05F0" w:rsidRPr="005B6AFB">
        <w:rPr>
          <w:rFonts w:eastAsia="Times New Roman"/>
        </w:rPr>
        <w:t xml:space="preserve"> and will no longer require separate data collection</w:t>
      </w:r>
      <w:r w:rsidR="00DD191A" w:rsidRPr="005B6AFB">
        <w:rPr>
          <w:rFonts w:eastAsia="Times New Roman"/>
        </w:rPr>
        <w:t>.</w:t>
      </w:r>
    </w:p>
    <w:p w14:paraId="679D1CD4" w14:textId="405447C0" w:rsidR="00735876" w:rsidRPr="005B6AFB" w:rsidRDefault="00735876" w:rsidP="00735876">
      <w:pPr>
        <w:pStyle w:val="ListParagraph"/>
        <w:numPr>
          <w:ilvl w:val="0"/>
          <w:numId w:val="6"/>
        </w:numPr>
        <w:jc w:val="both"/>
        <w:rPr>
          <w:bCs/>
        </w:rPr>
      </w:pPr>
      <w:r w:rsidRPr="005B6AFB">
        <w:rPr>
          <w:bCs/>
        </w:rPr>
        <w:t xml:space="preserve">DFID asked </w:t>
      </w:r>
      <w:r w:rsidR="00A80F90" w:rsidRPr="005B6AFB">
        <w:rPr>
          <w:bCs/>
        </w:rPr>
        <w:t>if the profiling included an element of verification.</w:t>
      </w:r>
    </w:p>
    <w:p w14:paraId="7C516D35" w14:textId="40BB7A7E" w:rsidR="00A80F90" w:rsidRPr="005B6AFB" w:rsidRDefault="00284575" w:rsidP="00A80F90">
      <w:pPr>
        <w:pStyle w:val="ListParagraph"/>
        <w:numPr>
          <w:ilvl w:val="1"/>
          <w:numId w:val="6"/>
        </w:numPr>
        <w:jc w:val="both"/>
        <w:rPr>
          <w:rFonts w:eastAsia="Times New Roman"/>
        </w:rPr>
      </w:pPr>
      <w:r w:rsidRPr="005B6AFB">
        <w:rPr>
          <w:rFonts w:eastAsia="Times New Roman"/>
        </w:rPr>
        <w:t>The profiling does not include verification of refugee status, as this is handled by the REC.</w:t>
      </w:r>
    </w:p>
    <w:p w14:paraId="735719D3" w14:textId="77777777" w:rsidR="00B160DE" w:rsidRPr="005B6AFB" w:rsidRDefault="00B160DE" w:rsidP="005B6AFB">
      <w:pPr>
        <w:pStyle w:val="ListParagraph"/>
        <w:numPr>
          <w:ilvl w:val="0"/>
          <w:numId w:val="0"/>
        </w:numPr>
        <w:ind w:left="1440"/>
        <w:jc w:val="both"/>
        <w:rPr>
          <w:bCs/>
        </w:rPr>
      </w:pPr>
    </w:p>
    <w:p w14:paraId="706D8681" w14:textId="77777777" w:rsidR="00B160DE" w:rsidRPr="005B6AFB" w:rsidRDefault="00B160DE" w:rsidP="00B160DE">
      <w:pPr>
        <w:pStyle w:val="ListParagraph"/>
        <w:numPr>
          <w:ilvl w:val="0"/>
          <w:numId w:val="4"/>
        </w:numPr>
        <w:jc w:val="both"/>
        <w:rPr>
          <w:b/>
          <w:bCs/>
        </w:rPr>
      </w:pPr>
      <w:r w:rsidRPr="005B6AFB">
        <w:rPr>
          <w:b/>
          <w:bCs/>
        </w:rPr>
        <w:t>WFP Prioritization</w:t>
      </w:r>
    </w:p>
    <w:p w14:paraId="34CE0384" w14:textId="510861C1" w:rsidR="00B160DE" w:rsidRPr="005B6AFB" w:rsidRDefault="00B160DE" w:rsidP="00B160DE">
      <w:pPr>
        <w:pStyle w:val="ListParagraph"/>
        <w:numPr>
          <w:ilvl w:val="0"/>
          <w:numId w:val="6"/>
        </w:numPr>
        <w:ind w:left="720" w:hanging="270"/>
        <w:jc w:val="both"/>
      </w:pPr>
      <w:r w:rsidRPr="005B6AFB">
        <w:t>In 2020, WFP is unlikely to receive enough resources to cover full rations for all refugees. It is projected that resources could be enough for 100% ration for the Extremely Vulnerable Households (EVH) and 70% ration for the rest of the population tentatively beginning in April. WFP presented about planned prioritization to get feedback from ATWG. It was indicated that EVH does not appear to identify household with the largest unmet needs, which may call for alternative prioritization schemes.</w:t>
      </w:r>
    </w:p>
    <w:p w14:paraId="5E69B425" w14:textId="77777777" w:rsidR="00B160DE" w:rsidRPr="005B6AFB" w:rsidRDefault="00B160DE" w:rsidP="00B160DE">
      <w:pPr>
        <w:pStyle w:val="ListParagraph"/>
        <w:numPr>
          <w:ilvl w:val="0"/>
          <w:numId w:val="6"/>
        </w:numPr>
        <w:ind w:left="720" w:hanging="270"/>
        <w:jc w:val="both"/>
      </w:pPr>
      <w:r w:rsidRPr="005B6AFB">
        <w:t>See PowerPoint for detailed review of options and possible scenarios.</w:t>
      </w:r>
    </w:p>
    <w:p w14:paraId="1830DD70" w14:textId="77777777" w:rsidR="00B160DE" w:rsidRPr="005B6AFB" w:rsidRDefault="00B160DE" w:rsidP="00B160DE">
      <w:pPr>
        <w:pStyle w:val="ListParagraph"/>
        <w:numPr>
          <w:ilvl w:val="0"/>
          <w:numId w:val="6"/>
        </w:numPr>
        <w:ind w:left="720" w:hanging="270"/>
        <w:jc w:val="both"/>
      </w:pPr>
      <w:r w:rsidRPr="005B6AFB">
        <w:t>Responses from ATWG</w:t>
      </w:r>
    </w:p>
    <w:p w14:paraId="35D93FB6" w14:textId="77777777" w:rsidR="00CB26D4" w:rsidRPr="005B6AFB" w:rsidRDefault="00B160DE" w:rsidP="00B160DE">
      <w:pPr>
        <w:pStyle w:val="ListParagraph"/>
        <w:numPr>
          <w:ilvl w:val="0"/>
          <w:numId w:val="23"/>
        </w:numPr>
        <w:jc w:val="both"/>
      </w:pPr>
      <w:r w:rsidRPr="005B6AFB">
        <w:t xml:space="preserve">It may be better to identify which other categories of refugees should not to be excluded, on top of the EVH distinction. There should be a system to identify EVH but not classified as EVHI so that they are put back to EVH status. </w:t>
      </w:r>
    </w:p>
    <w:p w14:paraId="25ABDE0B" w14:textId="47EDF817" w:rsidR="00B160DE" w:rsidRPr="005B6AFB" w:rsidRDefault="00CB26D4" w:rsidP="005B6AFB">
      <w:pPr>
        <w:pStyle w:val="ListParagraph"/>
        <w:numPr>
          <w:ilvl w:val="0"/>
          <w:numId w:val="26"/>
        </w:numPr>
        <w:jc w:val="both"/>
      </w:pPr>
      <w:r w:rsidRPr="005B6AFB">
        <w:t xml:space="preserve"> It was suggested to include a grey area of 5% to soften the thresholds for inclusion/exclusion, pilot the approach first and set-up an appeal mechanism. It was also mentioned that disability statistics are not reliable and should therefore not be used and that the fact that PSNs received more assistance due to their status should be considered as well.</w:t>
      </w:r>
    </w:p>
    <w:p w14:paraId="4D7202FE" w14:textId="77777777" w:rsidR="00B160DE" w:rsidRPr="005B6AFB" w:rsidRDefault="00B160DE" w:rsidP="00B160DE">
      <w:pPr>
        <w:pStyle w:val="ListParagraph"/>
        <w:numPr>
          <w:ilvl w:val="0"/>
          <w:numId w:val="23"/>
        </w:numPr>
        <w:jc w:val="both"/>
      </w:pPr>
      <w:r w:rsidRPr="005B6AFB">
        <w:t>When is the planned prioritization likely to start?</w:t>
      </w:r>
    </w:p>
    <w:p w14:paraId="23A0D944" w14:textId="5153A5DF" w:rsidR="00B160DE" w:rsidRPr="005B6AFB" w:rsidRDefault="00B160DE" w:rsidP="007D50F5">
      <w:pPr>
        <w:pStyle w:val="ListParagraph"/>
        <w:numPr>
          <w:ilvl w:val="0"/>
          <w:numId w:val="0"/>
        </w:numPr>
        <w:ind w:left="1069"/>
        <w:jc w:val="both"/>
      </w:pPr>
      <w:r w:rsidRPr="005B6AFB">
        <w:t>Feedback: It is planned for April. WFP will do further analysis for response options and then conduct consultations will key refugee response partners and refugee communities.</w:t>
      </w:r>
    </w:p>
    <w:p w14:paraId="4C8EC4AB" w14:textId="77777777" w:rsidR="00EB4661" w:rsidRPr="005B6AFB" w:rsidRDefault="00EB4661" w:rsidP="005B6AFB">
      <w:pPr>
        <w:pStyle w:val="ListParagraph"/>
        <w:numPr>
          <w:ilvl w:val="0"/>
          <w:numId w:val="0"/>
        </w:numPr>
        <w:ind w:left="720"/>
        <w:rPr>
          <w:b/>
        </w:rPr>
      </w:pPr>
    </w:p>
    <w:p w14:paraId="495354F4" w14:textId="0BC5A51A" w:rsidR="003A1632" w:rsidRPr="005B6AFB" w:rsidRDefault="00214399" w:rsidP="003C3C3E">
      <w:pPr>
        <w:pStyle w:val="ListParagraph"/>
        <w:numPr>
          <w:ilvl w:val="0"/>
          <w:numId w:val="4"/>
        </w:numPr>
        <w:rPr>
          <w:b/>
        </w:rPr>
      </w:pPr>
      <w:r w:rsidRPr="005B6AFB">
        <w:rPr>
          <w:b/>
        </w:rPr>
        <w:t xml:space="preserve">World Bank/UBOS frequent monitoring system </w:t>
      </w:r>
    </w:p>
    <w:p w14:paraId="5CD8A1C0" w14:textId="51476CA9" w:rsidR="001A49BA" w:rsidRPr="005B6AFB" w:rsidRDefault="00E46854" w:rsidP="003C3C3E">
      <w:pPr>
        <w:pStyle w:val="ListParagraph"/>
        <w:numPr>
          <w:ilvl w:val="0"/>
          <w:numId w:val="6"/>
        </w:numPr>
        <w:ind w:left="720" w:hanging="270"/>
        <w:jc w:val="both"/>
      </w:pPr>
      <w:r w:rsidRPr="005B6AFB">
        <w:t xml:space="preserve">The </w:t>
      </w:r>
      <w:r w:rsidR="001A49BA" w:rsidRPr="005B6AFB">
        <w:t>proposed monitoring system</w:t>
      </w:r>
      <w:r w:rsidR="00F63823" w:rsidRPr="005B6AFB">
        <w:t>, led and implemented by UBOS with technical support from the World Bank,</w:t>
      </w:r>
      <w:r w:rsidR="001A49BA" w:rsidRPr="005B6AFB">
        <w:t xml:space="preserve"> will collect data on key indicators on </w:t>
      </w:r>
      <w:r w:rsidR="00405A76" w:rsidRPr="005B6AFB">
        <w:t xml:space="preserve">a </w:t>
      </w:r>
      <w:r w:rsidR="001A49BA" w:rsidRPr="005B6AFB">
        <w:t xml:space="preserve">monthly and quarterly basis in refugee settlements. The </w:t>
      </w:r>
      <w:r w:rsidR="00405A76" w:rsidRPr="005B6AFB">
        <w:t xml:space="preserve">proposed </w:t>
      </w:r>
      <w:r w:rsidR="001A49BA" w:rsidRPr="005B6AFB">
        <w:t xml:space="preserve">system is divided into </w:t>
      </w:r>
      <w:r w:rsidR="00405A76" w:rsidRPr="005B6AFB">
        <w:t xml:space="preserve">five </w:t>
      </w:r>
      <w:r w:rsidR="001A49BA" w:rsidRPr="005B6AFB">
        <w:t>sectors: Core (household indicators), WASH, Education</w:t>
      </w:r>
      <w:r w:rsidR="00405A76" w:rsidRPr="005B6AFB">
        <w:t>,</w:t>
      </w:r>
      <w:r w:rsidR="001A49BA" w:rsidRPr="005B6AFB">
        <w:t xml:space="preserve"> health</w:t>
      </w:r>
      <w:r w:rsidR="00405A76" w:rsidRPr="005B6AFB">
        <w:t>,</w:t>
      </w:r>
      <w:r w:rsidR="001A49BA" w:rsidRPr="005B6AFB">
        <w:t xml:space="preserve"> and livelihood sector</w:t>
      </w:r>
      <w:r w:rsidR="00405A76" w:rsidRPr="005B6AFB">
        <w:t>s</w:t>
      </w:r>
      <w:r w:rsidR="001A49BA" w:rsidRPr="005B6AFB">
        <w:t>. Data collection on indicators in the core sector will be collected monthly and the rest will be quarterly</w:t>
      </w:r>
      <w:r w:rsidR="00405A76" w:rsidRPr="005B6AFB">
        <w:t xml:space="preserve"> on an alternating basis</w:t>
      </w:r>
      <w:r w:rsidR="001A49BA" w:rsidRPr="005B6AFB">
        <w:t xml:space="preserve">. </w:t>
      </w:r>
      <w:r w:rsidR="00D23C98" w:rsidRPr="005B6AFB">
        <w:t xml:space="preserve">Agencies and partners can input into the tools and have access to data for programming. </w:t>
      </w:r>
      <w:r w:rsidR="001A49BA" w:rsidRPr="005B6AFB">
        <w:t>See the attached questionnaire for details.</w:t>
      </w:r>
    </w:p>
    <w:p w14:paraId="1AC56370" w14:textId="251A38D4" w:rsidR="001A49BA" w:rsidRPr="005B6AFB" w:rsidRDefault="001A49BA" w:rsidP="003C3C3E">
      <w:pPr>
        <w:pStyle w:val="ListParagraph"/>
        <w:numPr>
          <w:ilvl w:val="0"/>
          <w:numId w:val="6"/>
        </w:numPr>
        <w:ind w:left="720" w:hanging="270"/>
        <w:jc w:val="both"/>
      </w:pPr>
      <w:r w:rsidRPr="005B6AFB">
        <w:t>Response</w:t>
      </w:r>
      <w:r w:rsidR="009F688D" w:rsidRPr="005B6AFB">
        <w:t>s</w:t>
      </w:r>
      <w:r w:rsidRPr="005B6AFB">
        <w:t xml:space="preserve"> from ATWG</w:t>
      </w:r>
    </w:p>
    <w:p w14:paraId="35EC3BDD" w14:textId="14D736D5" w:rsidR="00405A76" w:rsidRPr="005B6AFB" w:rsidRDefault="00405A76" w:rsidP="001A49BA">
      <w:pPr>
        <w:pStyle w:val="ListParagraph"/>
        <w:numPr>
          <w:ilvl w:val="0"/>
          <w:numId w:val="21"/>
        </w:numPr>
        <w:jc w:val="both"/>
      </w:pPr>
      <w:r w:rsidRPr="005B6AFB">
        <w:t>Through consultations and design of the proposed system, what sectoral information gaps were identified as needing to be collected on a monthly or quarterly basis?</w:t>
      </w:r>
    </w:p>
    <w:p w14:paraId="226C7FF3" w14:textId="457451CF" w:rsidR="001A49BA" w:rsidRPr="005B6AFB" w:rsidRDefault="001A49BA" w:rsidP="001A49BA">
      <w:pPr>
        <w:pStyle w:val="ListParagraph"/>
        <w:numPr>
          <w:ilvl w:val="0"/>
          <w:numId w:val="21"/>
        </w:numPr>
        <w:jc w:val="both"/>
      </w:pPr>
      <w:r w:rsidRPr="005B6AFB">
        <w:t>There were questions of why the need for a new system and how it compliments on the already existing monitoring systems.</w:t>
      </w:r>
      <w:r w:rsidR="00DD1637" w:rsidRPr="005B6AFB">
        <w:t xml:space="preserve"> </w:t>
      </w:r>
      <w:r w:rsidR="006B3817" w:rsidRPr="005B6AFB">
        <w:t>Members e</w:t>
      </w:r>
      <w:r w:rsidR="00DD1637" w:rsidRPr="005B6AFB">
        <w:t>ncourage</w:t>
      </w:r>
      <w:r w:rsidR="006B3817" w:rsidRPr="005B6AFB">
        <w:t>d</w:t>
      </w:r>
      <w:r w:rsidR="00A37A71" w:rsidRPr="005B6AFB">
        <w:t xml:space="preserve"> the World Bank</w:t>
      </w:r>
      <w:r w:rsidR="00DD1637" w:rsidRPr="005B6AFB">
        <w:t xml:space="preserve"> to assess current systems and integrate surveys in</w:t>
      </w:r>
      <w:r w:rsidR="00A37A71" w:rsidRPr="005B6AFB">
        <w:t>to</w:t>
      </w:r>
      <w:r w:rsidR="00DD1637" w:rsidRPr="005B6AFB">
        <w:t xml:space="preserve"> existing mechanisms</w:t>
      </w:r>
      <w:r w:rsidR="00A37A71" w:rsidRPr="005B6AFB">
        <w:t xml:space="preserve"> where possible</w:t>
      </w:r>
      <w:r w:rsidR="00DD1637" w:rsidRPr="005B6AFB">
        <w:t>, rather than create something new.</w:t>
      </w:r>
    </w:p>
    <w:p w14:paraId="32B23017" w14:textId="4B2504C6" w:rsidR="001A49BA" w:rsidRPr="005B6AFB" w:rsidRDefault="001A49BA" w:rsidP="001A49BA">
      <w:pPr>
        <w:pStyle w:val="ListParagraph"/>
        <w:numPr>
          <w:ilvl w:val="0"/>
          <w:numId w:val="21"/>
        </w:numPr>
        <w:jc w:val="both"/>
      </w:pPr>
      <w:r w:rsidRPr="005B6AFB">
        <w:t>How representative the data from the new system will be?</w:t>
      </w:r>
    </w:p>
    <w:p w14:paraId="6634EF80" w14:textId="6AE295C5" w:rsidR="001A49BA" w:rsidRPr="005B6AFB" w:rsidRDefault="009F688D" w:rsidP="001A49BA">
      <w:pPr>
        <w:pStyle w:val="ListParagraph"/>
        <w:numPr>
          <w:ilvl w:val="0"/>
          <w:numId w:val="21"/>
        </w:numPr>
        <w:jc w:val="both"/>
      </w:pPr>
      <w:r w:rsidRPr="005B6AFB">
        <w:t>How will the data be accessed and how will it be utilized?</w:t>
      </w:r>
    </w:p>
    <w:p w14:paraId="11989444" w14:textId="682D4A59" w:rsidR="009F688D" w:rsidRPr="005B6AFB" w:rsidRDefault="009F688D" w:rsidP="009F688D">
      <w:pPr>
        <w:pStyle w:val="ListParagraph"/>
        <w:numPr>
          <w:ilvl w:val="0"/>
          <w:numId w:val="0"/>
        </w:numPr>
        <w:ind w:left="1080"/>
        <w:jc w:val="both"/>
      </w:pPr>
      <w:r w:rsidRPr="005B6AFB">
        <w:t>Feedback: The tool will be shared to the ATWG for feedback.</w:t>
      </w:r>
      <w:r w:rsidR="0038051C" w:rsidRPr="005B6AFB">
        <w:t xml:space="preserve"> The World Bank and UBOS plan to pilot the Frequent Monitoring System over the next few months and assess feasibility and usefulness.</w:t>
      </w:r>
      <w:r w:rsidR="00897450" w:rsidRPr="005B6AFB">
        <w:t xml:space="preserve"> The sample size will be 2,000 HH, </w:t>
      </w:r>
      <w:r w:rsidR="00D6456A" w:rsidRPr="005B6AFB">
        <w:t xml:space="preserve">this </w:t>
      </w:r>
      <w:r w:rsidR="00D860A7" w:rsidRPr="005B6AFB">
        <w:t xml:space="preserve">sample </w:t>
      </w:r>
      <w:r w:rsidR="00D6456A" w:rsidRPr="005B6AFB">
        <w:t xml:space="preserve">will </w:t>
      </w:r>
      <w:r w:rsidR="00D860A7" w:rsidRPr="005B6AFB">
        <w:t xml:space="preserve">contain the same households </w:t>
      </w:r>
      <w:r w:rsidR="005064F0" w:rsidRPr="005B6AFB">
        <w:t>every month.</w:t>
      </w:r>
    </w:p>
    <w:p w14:paraId="4F89BC8B" w14:textId="77777777" w:rsidR="00BE1D72" w:rsidRPr="005B6AFB" w:rsidRDefault="00BE1D72" w:rsidP="009F688D">
      <w:pPr>
        <w:pStyle w:val="ListParagraph"/>
        <w:numPr>
          <w:ilvl w:val="0"/>
          <w:numId w:val="0"/>
        </w:numPr>
        <w:ind w:left="1080"/>
        <w:jc w:val="both"/>
      </w:pPr>
    </w:p>
    <w:p w14:paraId="002D9F62" w14:textId="77777777" w:rsidR="00BE1D72" w:rsidRPr="005B6AFB" w:rsidRDefault="00BE1D72" w:rsidP="00BE1D72">
      <w:pPr>
        <w:pStyle w:val="ListParagraph"/>
        <w:numPr>
          <w:ilvl w:val="0"/>
          <w:numId w:val="4"/>
        </w:numPr>
        <w:rPr>
          <w:b/>
        </w:rPr>
      </w:pPr>
      <w:r w:rsidRPr="005B6AFB">
        <w:rPr>
          <w:b/>
        </w:rPr>
        <w:t>Energy assessments</w:t>
      </w:r>
    </w:p>
    <w:p w14:paraId="5D4884D8" w14:textId="067070E3" w:rsidR="00BE1D72" w:rsidRPr="005B6AFB" w:rsidRDefault="00812DFC" w:rsidP="00502777">
      <w:pPr>
        <w:pStyle w:val="ListParagraph"/>
        <w:numPr>
          <w:ilvl w:val="0"/>
          <w:numId w:val="6"/>
        </w:numPr>
        <w:ind w:left="720" w:hanging="270"/>
        <w:jc w:val="both"/>
        <w:rPr>
          <w:bCs/>
        </w:rPr>
      </w:pPr>
      <w:r w:rsidRPr="005B6AFB">
        <w:rPr>
          <w:bCs/>
        </w:rPr>
        <w:t xml:space="preserve">Dalberg is planning to conduct an assessment </w:t>
      </w:r>
      <w:r w:rsidR="00100529" w:rsidRPr="005B6AFB">
        <w:rPr>
          <w:bCs/>
        </w:rPr>
        <w:t xml:space="preserve">in </w:t>
      </w:r>
      <w:proofErr w:type="spellStart"/>
      <w:r w:rsidR="00100529" w:rsidRPr="005B6AFB">
        <w:rPr>
          <w:bCs/>
        </w:rPr>
        <w:t>Bidibidi</w:t>
      </w:r>
      <w:proofErr w:type="spellEnd"/>
      <w:r w:rsidR="00100529" w:rsidRPr="005B6AFB">
        <w:rPr>
          <w:bCs/>
        </w:rPr>
        <w:t xml:space="preserve"> </w:t>
      </w:r>
      <w:r w:rsidRPr="005B6AFB">
        <w:rPr>
          <w:bCs/>
        </w:rPr>
        <w:t xml:space="preserve">to look at </w:t>
      </w:r>
      <w:r w:rsidR="00D11CB3" w:rsidRPr="005B6AFB">
        <w:rPr>
          <w:bCs/>
        </w:rPr>
        <w:t xml:space="preserve">how the private sector can support the energy needs of households and what </w:t>
      </w:r>
      <w:r w:rsidRPr="005B6AFB">
        <w:rPr>
          <w:bCs/>
        </w:rPr>
        <w:t xml:space="preserve">the willingness </w:t>
      </w:r>
      <w:r w:rsidR="00D11CB3" w:rsidRPr="005B6AFB">
        <w:rPr>
          <w:bCs/>
        </w:rPr>
        <w:t xml:space="preserve">is </w:t>
      </w:r>
      <w:r w:rsidRPr="005B6AFB">
        <w:rPr>
          <w:bCs/>
        </w:rPr>
        <w:t>to pay for energy</w:t>
      </w:r>
      <w:r w:rsidR="00D11CB3" w:rsidRPr="005B6AFB">
        <w:rPr>
          <w:bCs/>
        </w:rPr>
        <w:t xml:space="preserve">. </w:t>
      </w:r>
    </w:p>
    <w:p w14:paraId="22A76911" w14:textId="3C6908CC" w:rsidR="00100529" w:rsidRPr="005B6AFB" w:rsidRDefault="00100529" w:rsidP="00502777">
      <w:pPr>
        <w:pStyle w:val="ListParagraph"/>
        <w:numPr>
          <w:ilvl w:val="0"/>
          <w:numId w:val="6"/>
        </w:numPr>
        <w:ind w:left="720" w:hanging="270"/>
        <w:jc w:val="both"/>
        <w:rPr>
          <w:bCs/>
        </w:rPr>
      </w:pPr>
      <w:r w:rsidRPr="005B6AFB">
        <w:rPr>
          <w:bCs/>
        </w:rPr>
        <w:t xml:space="preserve">The Response </w:t>
      </w:r>
      <w:r w:rsidR="00CC7234" w:rsidRPr="005B6AFB">
        <w:rPr>
          <w:bCs/>
        </w:rPr>
        <w:t>Innovation</w:t>
      </w:r>
      <w:r w:rsidRPr="005B6AFB">
        <w:rPr>
          <w:bCs/>
        </w:rPr>
        <w:t xml:space="preserve"> Lab </w:t>
      </w:r>
      <w:r w:rsidR="00BF184D" w:rsidRPr="005B6AFB">
        <w:rPr>
          <w:bCs/>
        </w:rPr>
        <w:t xml:space="preserve">together with </w:t>
      </w:r>
      <w:r w:rsidR="00CC7234" w:rsidRPr="005B6AFB">
        <w:rPr>
          <w:bCs/>
        </w:rPr>
        <w:t>Humanitarian</w:t>
      </w:r>
      <w:r w:rsidR="00BF184D" w:rsidRPr="005B6AFB">
        <w:rPr>
          <w:bCs/>
        </w:rPr>
        <w:t xml:space="preserve"> OpenStreetMap Team (HOT) is conducting an assessment in </w:t>
      </w:r>
      <w:proofErr w:type="spellStart"/>
      <w:r w:rsidR="00BF184D" w:rsidRPr="005B6AFB">
        <w:rPr>
          <w:bCs/>
        </w:rPr>
        <w:t>Bidibidi</w:t>
      </w:r>
      <w:proofErr w:type="spellEnd"/>
      <w:r w:rsidR="00BF184D" w:rsidRPr="005B6AFB">
        <w:rPr>
          <w:bCs/>
        </w:rPr>
        <w:t xml:space="preserve"> to look at access to clean energy and map the locations of </w:t>
      </w:r>
      <w:r w:rsidR="00CC7234" w:rsidRPr="005B6AFB">
        <w:rPr>
          <w:bCs/>
        </w:rPr>
        <w:t>energy providers.</w:t>
      </w:r>
    </w:p>
    <w:p w14:paraId="24834A6F" w14:textId="3C108270" w:rsidR="001C3D24" w:rsidRPr="005B6AFB" w:rsidRDefault="001C3D24" w:rsidP="005B6AFB">
      <w:pPr>
        <w:pStyle w:val="ListParagraph"/>
        <w:numPr>
          <w:ilvl w:val="0"/>
          <w:numId w:val="6"/>
        </w:numPr>
        <w:ind w:left="720" w:hanging="270"/>
        <w:jc w:val="both"/>
        <w:rPr>
          <w:bCs/>
        </w:rPr>
      </w:pPr>
      <w:r w:rsidRPr="005B6AFB">
        <w:rPr>
          <w:bCs/>
        </w:rPr>
        <w:t xml:space="preserve">It was suggested that </w:t>
      </w:r>
      <w:r w:rsidR="00D860A7" w:rsidRPr="005B6AFB">
        <w:rPr>
          <w:bCs/>
        </w:rPr>
        <w:t xml:space="preserve">the </w:t>
      </w:r>
      <w:r w:rsidR="0061513A" w:rsidRPr="005B6AFB">
        <w:rPr>
          <w:bCs/>
        </w:rPr>
        <w:t xml:space="preserve">methodologies for the </w:t>
      </w:r>
      <w:r w:rsidR="00D860A7" w:rsidRPr="005B6AFB">
        <w:rPr>
          <w:bCs/>
        </w:rPr>
        <w:t xml:space="preserve">two </w:t>
      </w:r>
      <w:r w:rsidR="0061513A" w:rsidRPr="005B6AFB">
        <w:rPr>
          <w:bCs/>
        </w:rPr>
        <w:t xml:space="preserve">assessments be compared to avoid overlap and that </w:t>
      </w:r>
      <w:r w:rsidRPr="005B6AFB">
        <w:rPr>
          <w:bCs/>
        </w:rPr>
        <w:t xml:space="preserve">information from the VENA </w:t>
      </w:r>
      <w:r w:rsidR="00296DBD" w:rsidRPr="005B6AFB">
        <w:rPr>
          <w:bCs/>
        </w:rPr>
        <w:t xml:space="preserve">market assessment </w:t>
      </w:r>
      <w:r w:rsidRPr="005B6AFB">
        <w:rPr>
          <w:bCs/>
        </w:rPr>
        <w:t>be consulted before collecting new data</w:t>
      </w:r>
      <w:r w:rsidR="00296DBD" w:rsidRPr="005B6AFB">
        <w:rPr>
          <w:bCs/>
        </w:rPr>
        <w:t xml:space="preserve">. </w:t>
      </w:r>
    </w:p>
    <w:p w14:paraId="353430F3" w14:textId="77777777" w:rsidR="007A19A5" w:rsidRPr="005B6AFB" w:rsidRDefault="007A19A5" w:rsidP="005B6AFB">
      <w:pPr>
        <w:pStyle w:val="ListParagraph"/>
        <w:numPr>
          <w:ilvl w:val="0"/>
          <w:numId w:val="0"/>
        </w:numPr>
        <w:ind w:left="720"/>
        <w:jc w:val="both"/>
        <w:rPr>
          <w:b/>
          <w:bCs/>
        </w:rPr>
      </w:pPr>
    </w:p>
    <w:p w14:paraId="13F6EFF4" w14:textId="070F1A58" w:rsidR="007C2050" w:rsidRPr="005B6AFB" w:rsidRDefault="007C2050" w:rsidP="00315742">
      <w:pPr>
        <w:ind w:left="360" w:hanging="360"/>
        <w:rPr>
          <w:b/>
        </w:rPr>
      </w:pPr>
    </w:p>
    <w:sectPr w:rsidR="007C2050" w:rsidRPr="005B6AFB" w:rsidSect="0003153C">
      <w:footerReference w:type="default" r:id="rId11"/>
      <w:pgSz w:w="11900" w:h="16840" w:code="9"/>
      <w:pgMar w:top="1814" w:right="1797" w:bottom="1418"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1699" w14:textId="77777777" w:rsidR="00583FFF" w:rsidRDefault="00583FFF" w:rsidP="003E43F6">
      <w:pPr>
        <w:spacing w:after="0" w:line="240" w:lineRule="auto"/>
      </w:pPr>
      <w:r>
        <w:separator/>
      </w:r>
    </w:p>
  </w:endnote>
  <w:endnote w:type="continuationSeparator" w:id="0">
    <w:p w14:paraId="5EF6F5A9" w14:textId="77777777" w:rsidR="00583FFF" w:rsidRDefault="00583FFF"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6D31571F" w14:textId="7912ED13" w:rsidR="001E3485" w:rsidRDefault="001E3485" w:rsidP="0003153C">
        <w:pPr>
          <w:pStyle w:val="Footer"/>
          <w:rPr>
            <w:noProof/>
          </w:rPr>
        </w:pPr>
        <w:r w:rsidRPr="008314E0">
          <w:fldChar w:fldCharType="begin"/>
        </w:r>
        <w:r w:rsidRPr="008314E0">
          <w:instrText xml:space="preserve"> PAGE   \* MERGEFORMAT </w:instrText>
        </w:r>
        <w:r w:rsidRPr="008314E0">
          <w:fldChar w:fldCharType="separate"/>
        </w:r>
        <w:r w:rsidR="00676CAB">
          <w:rPr>
            <w:noProof/>
          </w:rPr>
          <w:t>2</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426A" w14:textId="77777777" w:rsidR="00583FFF" w:rsidRDefault="00583FFF" w:rsidP="003E43F6">
      <w:pPr>
        <w:spacing w:after="0" w:line="240" w:lineRule="auto"/>
      </w:pPr>
      <w:r>
        <w:separator/>
      </w:r>
    </w:p>
  </w:footnote>
  <w:footnote w:type="continuationSeparator" w:id="0">
    <w:p w14:paraId="0F8959B9" w14:textId="77777777" w:rsidR="00583FFF" w:rsidRDefault="00583FFF"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8CD"/>
    <w:multiLevelType w:val="hybridMultilevel"/>
    <w:tmpl w:val="5A68A93A"/>
    <w:lvl w:ilvl="0" w:tplc="20000005">
      <w:start w:val="1"/>
      <w:numFmt w:val="bullet"/>
      <w:lvlText w:val=""/>
      <w:lvlJc w:val="left"/>
      <w:pPr>
        <w:ind w:left="108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481407"/>
    <w:multiLevelType w:val="hybridMultilevel"/>
    <w:tmpl w:val="0CB2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41245"/>
    <w:multiLevelType w:val="hybridMultilevel"/>
    <w:tmpl w:val="344A6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013BC"/>
    <w:multiLevelType w:val="hybridMultilevel"/>
    <w:tmpl w:val="85C4224A"/>
    <w:lvl w:ilvl="0" w:tplc="AEE04C90">
      <w:start w:val="1"/>
      <w:numFmt w:val="lowerRoman"/>
      <w:lvlText w:val="%1."/>
      <w:lvlJc w:val="left"/>
      <w:pPr>
        <w:ind w:left="2160" w:hanging="720"/>
      </w:pPr>
      <w:rPr>
        <w:rFonts w:hint="default"/>
      </w:rPr>
    </w:lvl>
    <w:lvl w:ilvl="1" w:tplc="20000019">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1E5D167C"/>
    <w:multiLevelType w:val="hybridMultilevel"/>
    <w:tmpl w:val="E446055E"/>
    <w:lvl w:ilvl="0" w:tplc="08090003">
      <w:start w:val="1"/>
      <w:numFmt w:val="bullet"/>
      <w:lvlText w:val="o"/>
      <w:lvlJc w:val="left"/>
      <w:pPr>
        <w:ind w:left="108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525E2B"/>
    <w:multiLevelType w:val="multilevel"/>
    <w:tmpl w:val="0409001D"/>
    <w:numStyleLink w:val="List-Bullets"/>
  </w:abstractNum>
  <w:abstractNum w:abstractNumId="6" w15:restartNumberingAfterBreak="0">
    <w:nsid w:val="2CC07B76"/>
    <w:multiLevelType w:val="hybridMultilevel"/>
    <w:tmpl w:val="4A58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A2B5D"/>
    <w:multiLevelType w:val="hybridMultilevel"/>
    <w:tmpl w:val="069CEE0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54BE3DC6"/>
    <w:multiLevelType w:val="hybridMultilevel"/>
    <w:tmpl w:val="16F628FE"/>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9B647A"/>
    <w:multiLevelType w:val="hybridMultilevel"/>
    <w:tmpl w:val="207ED172"/>
    <w:lvl w:ilvl="0" w:tplc="2000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7E5618B"/>
    <w:multiLevelType w:val="hybridMultilevel"/>
    <w:tmpl w:val="D8EC9854"/>
    <w:lvl w:ilvl="0" w:tplc="9BFCBE9C">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2"/>
  </w:num>
  <w:num w:numId="2">
    <w:abstractNumId w:val="5"/>
  </w:num>
  <w:num w:numId="3">
    <w:abstractNumId w:val="9"/>
  </w:num>
  <w:num w:numId="4">
    <w:abstractNumId w:val="8"/>
  </w:num>
  <w:num w:numId="5">
    <w:abstractNumId w:val="3"/>
  </w:num>
  <w:num w:numId="6">
    <w:abstractNumId w:val="4"/>
  </w:num>
  <w:num w:numId="7">
    <w:abstractNumId w:val="11"/>
  </w:num>
  <w:num w:numId="8">
    <w:abstractNumId w:val="5"/>
  </w:num>
  <w:num w:numId="9">
    <w:abstractNumId w:val="5"/>
  </w:num>
  <w:num w:numId="10">
    <w:abstractNumId w:val="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5"/>
  </w:num>
  <w:num w:numId="19">
    <w:abstractNumId w:val="5"/>
  </w:num>
  <w:num w:numId="20">
    <w:abstractNumId w:val="1"/>
  </w:num>
  <w:num w:numId="21">
    <w:abstractNumId w:val="0"/>
  </w:num>
  <w:num w:numId="22">
    <w:abstractNumId w:val="5"/>
  </w:num>
  <w:num w:numId="23">
    <w:abstractNumId w:val="10"/>
  </w:num>
  <w:num w:numId="24">
    <w:abstractNumId w:val="5"/>
  </w:num>
  <w:num w:numId="25">
    <w:abstractNumId w:val="5"/>
  </w:num>
  <w:num w:numId="26">
    <w:abstractNumId w:val="7"/>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tbAwMTE1MzY2NzJV0lEKTi0uzszPAykwrAUAhf+zbiwAAAA="/>
  </w:docVars>
  <w:rsids>
    <w:rsidRoot w:val="003A1632"/>
    <w:rsid w:val="00000413"/>
    <w:rsid w:val="00020715"/>
    <w:rsid w:val="00027EB7"/>
    <w:rsid w:val="0003153C"/>
    <w:rsid w:val="000363DF"/>
    <w:rsid w:val="000609E6"/>
    <w:rsid w:val="0006551A"/>
    <w:rsid w:val="00067416"/>
    <w:rsid w:val="00072F1F"/>
    <w:rsid w:val="000738AC"/>
    <w:rsid w:val="00076DBD"/>
    <w:rsid w:val="0008015A"/>
    <w:rsid w:val="00081D05"/>
    <w:rsid w:val="000934CC"/>
    <w:rsid w:val="000962E6"/>
    <w:rsid w:val="00097ED8"/>
    <w:rsid w:val="000B245C"/>
    <w:rsid w:val="000E2310"/>
    <w:rsid w:val="000E4B94"/>
    <w:rsid w:val="000F2058"/>
    <w:rsid w:val="000F3475"/>
    <w:rsid w:val="000F3B25"/>
    <w:rsid w:val="00100529"/>
    <w:rsid w:val="00126E9E"/>
    <w:rsid w:val="00142879"/>
    <w:rsid w:val="0014387D"/>
    <w:rsid w:val="001443D2"/>
    <w:rsid w:val="00146B41"/>
    <w:rsid w:val="00160D9F"/>
    <w:rsid w:val="00197087"/>
    <w:rsid w:val="001A438C"/>
    <w:rsid w:val="001A49BA"/>
    <w:rsid w:val="001C3D24"/>
    <w:rsid w:val="001D5902"/>
    <w:rsid w:val="001E05F0"/>
    <w:rsid w:val="001E0B5E"/>
    <w:rsid w:val="001E3485"/>
    <w:rsid w:val="001F5811"/>
    <w:rsid w:val="0020115F"/>
    <w:rsid w:val="00212097"/>
    <w:rsid w:val="00214399"/>
    <w:rsid w:val="00214F21"/>
    <w:rsid w:val="00215BD0"/>
    <w:rsid w:val="00227277"/>
    <w:rsid w:val="0028028A"/>
    <w:rsid w:val="00284575"/>
    <w:rsid w:val="00294474"/>
    <w:rsid w:val="00296DBD"/>
    <w:rsid w:val="002A6666"/>
    <w:rsid w:val="002A7EE3"/>
    <w:rsid w:val="00306368"/>
    <w:rsid w:val="0031515F"/>
    <w:rsid w:val="00315742"/>
    <w:rsid w:val="003269BE"/>
    <w:rsid w:val="00336204"/>
    <w:rsid w:val="00345AA6"/>
    <w:rsid w:val="0037424C"/>
    <w:rsid w:val="00376432"/>
    <w:rsid w:val="0038051C"/>
    <w:rsid w:val="00385932"/>
    <w:rsid w:val="00385DDF"/>
    <w:rsid w:val="00386E39"/>
    <w:rsid w:val="00395B1E"/>
    <w:rsid w:val="003A0BC4"/>
    <w:rsid w:val="003A1632"/>
    <w:rsid w:val="003A2099"/>
    <w:rsid w:val="003C3C3E"/>
    <w:rsid w:val="003D04FB"/>
    <w:rsid w:val="003E43F6"/>
    <w:rsid w:val="003F1AF5"/>
    <w:rsid w:val="003F497E"/>
    <w:rsid w:val="003F6956"/>
    <w:rsid w:val="004015F9"/>
    <w:rsid w:val="00405A76"/>
    <w:rsid w:val="00405EA1"/>
    <w:rsid w:val="00426B4E"/>
    <w:rsid w:val="004468A0"/>
    <w:rsid w:val="004516AC"/>
    <w:rsid w:val="00484264"/>
    <w:rsid w:val="00494A6D"/>
    <w:rsid w:val="004A0AA2"/>
    <w:rsid w:val="004A6819"/>
    <w:rsid w:val="004C6ED4"/>
    <w:rsid w:val="004E2559"/>
    <w:rsid w:val="00502777"/>
    <w:rsid w:val="005064F0"/>
    <w:rsid w:val="00506FB9"/>
    <w:rsid w:val="0052496B"/>
    <w:rsid w:val="00526AFC"/>
    <w:rsid w:val="005331FE"/>
    <w:rsid w:val="005344E9"/>
    <w:rsid w:val="00541080"/>
    <w:rsid w:val="0054256C"/>
    <w:rsid w:val="00562AF7"/>
    <w:rsid w:val="00583FFF"/>
    <w:rsid w:val="00586C2F"/>
    <w:rsid w:val="0058783A"/>
    <w:rsid w:val="00594DAD"/>
    <w:rsid w:val="005B31B2"/>
    <w:rsid w:val="005B6AFB"/>
    <w:rsid w:val="005C0D4C"/>
    <w:rsid w:val="005C7826"/>
    <w:rsid w:val="005C7B6E"/>
    <w:rsid w:val="005D1D4F"/>
    <w:rsid w:val="00607CD5"/>
    <w:rsid w:val="0061513A"/>
    <w:rsid w:val="0064186F"/>
    <w:rsid w:val="006662BD"/>
    <w:rsid w:val="00676CAB"/>
    <w:rsid w:val="00677779"/>
    <w:rsid w:val="00683426"/>
    <w:rsid w:val="006B3817"/>
    <w:rsid w:val="006D19FA"/>
    <w:rsid w:val="00701CDA"/>
    <w:rsid w:val="00710B7D"/>
    <w:rsid w:val="00733A28"/>
    <w:rsid w:val="00735876"/>
    <w:rsid w:val="007364DD"/>
    <w:rsid w:val="00736B5B"/>
    <w:rsid w:val="00740BD8"/>
    <w:rsid w:val="0075356E"/>
    <w:rsid w:val="00777088"/>
    <w:rsid w:val="00784EC6"/>
    <w:rsid w:val="00785CE7"/>
    <w:rsid w:val="00796283"/>
    <w:rsid w:val="007A19A5"/>
    <w:rsid w:val="007C2050"/>
    <w:rsid w:val="007C5DA0"/>
    <w:rsid w:val="007C6EF0"/>
    <w:rsid w:val="007D1AC5"/>
    <w:rsid w:val="007D33F3"/>
    <w:rsid w:val="007D50F5"/>
    <w:rsid w:val="007D7AE3"/>
    <w:rsid w:val="007E0F71"/>
    <w:rsid w:val="007E573D"/>
    <w:rsid w:val="00812DFC"/>
    <w:rsid w:val="008369B2"/>
    <w:rsid w:val="00846876"/>
    <w:rsid w:val="00872362"/>
    <w:rsid w:val="008816CC"/>
    <w:rsid w:val="00897450"/>
    <w:rsid w:val="008A398E"/>
    <w:rsid w:val="008C4B0A"/>
    <w:rsid w:val="008C731F"/>
    <w:rsid w:val="008C7D81"/>
    <w:rsid w:val="008D1598"/>
    <w:rsid w:val="008D19FD"/>
    <w:rsid w:val="008E22E8"/>
    <w:rsid w:val="009025CC"/>
    <w:rsid w:val="00902E6D"/>
    <w:rsid w:val="00914054"/>
    <w:rsid w:val="00925519"/>
    <w:rsid w:val="00936AD7"/>
    <w:rsid w:val="0094054A"/>
    <w:rsid w:val="00970313"/>
    <w:rsid w:val="00980D00"/>
    <w:rsid w:val="0099017F"/>
    <w:rsid w:val="00997B36"/>
    <w:rsid w:val="00997BF5"/>
    <w:rsid w:val="009A3461"/>
    <w:rsid w:val="009B0D51"/>
    <w:rsid w:val="009C04FB"/>
    <w:rsid w:val="009C4DD7"/>
    <w:rsid w:val="009C6272"/>
    <w:rsid w:val="009D0DEF"/>
    <w:rsid w:val="009E671F"/>
    <w:rsid w:val="009F688D"/>
    <w:rsid w:val="00A03B78"/>
    <w:rsid w:val="00A10A1D"/>
    <w:rsid w:val="00A37A71"/>
    <w:rsid w:val="00A551D0"/>
    <w:rsid w:val="00A554EE"/>
    <w:rsid w:val="00A570BA"/>
    <w:rsid w:val="00A616D9"/>
    <w:rsid w:val="00A61F07"/>
    <w:rsid w:val="00A64393"/>
    <w:rsid w:val="00A80C51"/>
    <w:rsid w:val="00A80F90"/>
    <w:rsid w:val="00A865D1"/>
    <w:rsid w:val="00A9021D"/>
    <w:rsid w:val="00A92710"/>
    <w:rsid w:val="00A92E61"/>
    <w:rsid w:val="00AB3ECC"/>
    <w:rsid w:val="00AD22B9"/>
    <w:rsid w:val="00AE24EE"/>
    <w:rsid w:val="00AF2CBD"/>
    <w:rsid w:val="00B015DD"/>
    <w:rsid w:val="00B04737"/>
    <w:rsid w:val="00B14B8F"/>
    <w:rsid w:val="00B160DE"/>
    <w:rsid w:val="00B269B9"/>
    <w:rsid w:val="00B37080"/>
    <w:rsid w:val="00B622E0"/>
    <w:rsid w:val="00B74C5E"/>
    <w:rsid w:val="00B77CFC"/>
    <w:rsid w:val="00BC0480"/>
    <w:rsid w:val="00BD02E4"/>
    <w:rsid w:val="00BE1D72"/>
    <w:rsid w:val="00BF184D"/>
    <w:rsid w:val="00C0076D"/>
    <w:rsid w:val="00C0086F"/>
    <w:rsid w:val="00C17ECC"/>
    <w:rsid w:val="00C23383"/>
    <w:rsid w:val="00C60965"/>
    <w:rsid w:val="00C92D12"/>
    <w:rsid w:val="00CA74E2"/>
    <w:rsid w:val="00CB26D4"/>
    <w:rsid w:val="00CB7EC9"/>
    <w:rsid w:val="00CC7234"/>
    <w:rsid w:val="00CE0415"/>
    <w:rsid w:val="00CE348C"/>
    <w:rsid w:val="00CF31F9"/>
    <w:rsid w:val="00D07385"/>
    <w:rsid w:val="00D11CB3"/>
    <w:rsid w:val="00D13853"/>
    <w:rsid w:val="00D13CA9"/>
    <w:rsid w:val="00D23C98"/>
    <w:rsid w:val="00D41633"/>
    <w:rsid w:val="00D6456A"/>
    <w:rsid w:val="00D724F6"/>
    <w:rsid w:val="00D85FCA"/>
    <w:rsid w:val="00D860A7"/>
    <w:rsid w:val="00D94C35"/>
    <w:rsid w:val="00DA4A33"/>
    <w:rsid w:val="00DA4A5B"/>
    <w:rsid w:val="00DB4BA0"/>
    <w:rsid w:val="00DD1637"/>
    <w:rsid w:val="00DD191A"/>
    <w:rsid w:val="00DE0952"/>
    <w:rsid w:val="00E03CDA"/>
    <w:rsid w:val="00E068A3"/>
    <w:rsid w:val="00E17B4E"/>
    <w:rsid w:val="00E42ED9"/>
    <w:rsid w:val="00E46854"/>
    <w:rsid w:val="00E46C26"/>
    <w:rsid w:val="00E560C8"/>
    <w:rsid w:val="00E621BD"/>
    <w:rsid w:val="00E64009"/>
    <w:rsid w:val="00E97598"/>
    <w:rsid w:val="00EB4661"/>
    <w:rsid w:val="00EB7354"/>
    <w:rsid w:val="00EC1F38"/>
    <w:rsid w:val="00ED5BDE"/>
    <w:rsid w:val="00ED78C5"/>
    <w:rsid w:val="00EE11FB"/>
    <w:rsid w:val="00EF6BF1"/>
    <w:rsid w:val="00F030E0"/>
    <w:rsid w:val="00F15221"/>
    <w:rsid w:val="00F35FA0"/>
    <w:rsid w:val="00F4678A"/>
    <w:rsid w:val="00F63823"/>
    <w:rsid w:val="00F666FC"/>
    <w:rsid w:val="00F9205E"/>
    <w:rsid w:val="00FA4A18"/>
    <w:rsid w:val="00FA57A4"/>
    <w:rsid w:val="00FB76C1"/>
    <w:rsid w:val="00FD06B0"/>
    <w:rsid w:val="00FE50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09D7"/>
  <w15:chartTrackingRefBased/>
  <w15:docId w15:val="{D23F1E5D-D3DA-4C78-9C9E-7C71F11E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43F6"/>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2"/>
      </w:numPr>
      <w:contextualSpacing/>
    </w:pPr>
    <w:rPr>
      <w:szCs w:val="20"/>
    </w:rPr>
  </w:style>
  <w:style w:type="numbering" w:customStyle="1" w:styleId="List-Bullets">
    <w:name w:val="List-Bullets"/>
    <w:uiPriority w:val="99"/>
    <w:rsid w:val="003E43F6"/>
    <w:pPr>
      <w:numPr>
        <w:numId w:val="1"/>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3"/>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7E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573D"/>
    <w:pPr>
      <w:spacing w:after="0" w:line="240" w:lineRule="auto"/>
    </w:pPr>
    <w:rPr>
      <w:rFonts w:eastAsiaTheme="minorEastAsia" w:cs="Arial"/>
      <w:sz w:val="20"/>
      <w:szCs w:val="24"/>
      <w:lang w:val="en-US"/>
    </w:rPr>
  </w:style>
  <w:style w:type="paragraph" w:styleId="BalloonText">
    <w:name w:val="Balloon Text"/>
    <w:basedOn w:val="Normal"/>
    <w:link w:val="BalloonTextChar"/>
    <w:uiPriority w:val="99"/>
    <w:semiHidden/>
    <w:unhideWhenUsed/>
    <w:rsid w:val="0034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A6"/>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4A6819"/>
    <w:rPr>
      <w:sz w:val="16"/>
      <w:szCs w:val="16"/>
    </w:rPr>
  </w:style>
  <w:style w:type="paragraph" w:styleId="CommentText">
    <w:name w:val="annotation text"/>
    <w:basedOn w:val="Normal"/>
    <w:link w:val="CommentTextChar"/>
    <w:uiPriority w:val="99"/>
    <w:semiHidden/>
    <w:unhideWhenUsed/>
    <w:rsid w:val="004A6819"/>
    <w:pPr>
      <w:spacing w:line="240" w:lineRule="auto"/>
    </w:pPr>
    <w:rPr>
      <w:szCs w:val="20"/>
    </w:rPr>
  </w:style>
  <w:style w:type="character" w:customStyle="1" w:styleId="CommentTextChar">
    <w:name w:val="Comment Text Char"/>
    <w:basedOn w:val="DefaultParagraphFont"/>
    <w:link w:val="CommentText"/>
    <w:uiPriority w:val="99"/>
    <w:semiHidden/>
    <w:rsid w:val="004A6819"/>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4A6819"/>
    <w:rPr>
      <w:b/>
      <w:bCs/>
    </w:rPr>
  </w:style>
  <w:style w:type="character" w:customStyle="1" w:styleId="CommentSubjectChar">
    <w:name w:val="Comment Subject Char"/>
    <w:basedOn w:val="CommentTextChar"/>
    <w:link w:val="CommentSubject"/>
    <w:uiPriority w:val="99"/>
    <w:semiHidden/>
    <w:rsid w:val="004A6819"/>
    <w:rPr>
      <w:rFonts w:eastAsiaTheme="minorEastAsia"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9b5116f23093595a1bbb47971f92793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63292bb5cacf323892b370d657daded0"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F2FD-FA4B-43E6-81A8-DDB0730D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38260-69C3-4230-8971-ACB59C1F1183}">
  <ds:schemaRefs>
    <ds:schemaRef ds:uri="1d8ebf77-cd33-4f18-bb2b-d077fe339d9a"/>
    <ds:schemaRef ds:uri="http://purl.org/dc/elements/1.1/"/>
    <ds:schemaRef ds:uri="http://schemas.microsoft.com/office/2006/metadata/properties"/>
    <ds:schemaRef ds:uri="6df68d03-0d94-44b1-a9a2-765e7690f20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849F5A2-EE58-4224-84FB-EEE0B2371D68}">
  <ds:schemaRefs>
    <ds:schemaRef ds:uri="http://schemas.microsoft.com/sharepoint/v3/contenttype/forms"/>
  </ds:schemaRefs>
</ds:datastoreItem>
</file>

<file path=customXml/itemProps4.xml><?xml version="1.0" encoding="utf-8"?>
<ds:datastoreItem xmlns:ds="http://schemas.openxmlformats.org/officeDocument/2006/customXml" ds:itemID="{CB6258AB-DA92-4D94-8B78-EDB426D8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Hamud Said</dc:creator>
  <cp:keywords/>
  <dc:description/>
  <cp:lastModifiedBy>Bo Hurkmans</cp:lastModifiedBy>
  <cp:revision>74</cp:revision>
  <dcterms:created xsi:type="dcterms:W3CDTF">2020-02-19T12:15:00Z</dcterms:created>
  <dcterms:modified xsi:type="dcterms:W3CDTF">2020-02-19T14:01:00Z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