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57D4A" w14:textId="77777777" w:rsidR="00230C7E" w:rsidRDefault="006021D2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>Policy title: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 Protection from Sexual Exploitation and Abuse </w:t>
      </w:r>
    </w:p>
    <w:p w14:paraId="13F57D4B" w14:textId="634B1AF5" w:rsidR="00230C7E" w:rsidRDefault="006021D2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>Policy objective: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 To promulgate policy of zero tolerance for sexual exploitation and abuse (SEA) for all </w:t>
      </w:r>
      <w:r w:rsidR="00203793">
        <w:rPr>
          <w:rFonts w:ascii="Trebuchet MS" w:eastAsia="Trebuchet MS" w:hAnsi="Trebuchet MS" w:cs="Trebuchet MS"/>
          <w:sz w:val="24"/>
          <w:szCs w:val="24"/>
          <w:highlight w:val="white"/>
        </w:rPr>
        <w:t>Organization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 employees and related personnel and ensure that roles, responsibilities and expected standards of conduct in relation to SEA are known within </w:t>
      </w:r>
      <w:r w:rsidR="00203793">
        <w:rPr>
          <w:rFonts w:ascii="Trebuchet MS" w:eastAsia="Trebuchet MS" w:hAnsi="Trebuchet MS" w:cs="Trebuchet MS"/>
          <w:sz w:val="24"/>
          <w:szCs w:val="24"/>
          <w:highlight w:val="white"/>
        </w:rPr>
        <w:t>Organization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. To create and maintain a safe environment, free from SEA, by taking appropriate measures for this purpose, internally and in the communities where </w:t>
      </w:r>
      <w:r w:rsidR="00203793"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Organization 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>operates, through robust prevention and response work.</w:t>
      </w:r>
    </w:p>
    <w:p w14:paraId="13F57D4C" w14:textId="53561FEA" w:rsidR="00230C7E" w:rsidRDefault="006021D2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>Targeted Audience: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 All </w:t>
      </w:r>
      <w:r w:rsidR="00203793"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Organization 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>employees and related personnel.</w:t>
      </w:r>
    </w:p>
    <w:p w14:paraId="13F57D4D" w14:textId="77777777" w:rsidR="00230C7E" w:rsidRDefault="006021D2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>Effective Date: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 xx.xx.xxxx</w:t>
      </w:r>
    </w:p>
    <w:p w14:paraId="13F57D4E" w14:textId="77777777" w:rsidR="00230C7E" w:rsidRDefault="006021D2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>Mandatory Revision Date: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 xx.xx.xxxxt</w:t>
      </w:r>
    </w:p>
    <w:p w14:paraId="13F57D4F" w14:textId="77777777" w:rsidR="00230C7E" w:rsidRDefault="00230C7E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4"/>
          <w:szCs w:val="24"/>
          <w:highlight w:val="white"/>
        </w:rPr>
      </w:pPr>
    </w:p>
    <w:p w14:paraId="13F57D50" w14:textId="77777777" w:rsidR="00230C7E" w:rsidRDefault="00230C7E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4"/>
          <w:szCs w:val="24"/>
          <w:highlight w:val="white"/>
          <w:u w:val="single"/>
        </w:rPr>
      </w:pPr>
    </w:p>
    <w:p w14:paraId="13F57D51" w14:textId="77777777" w:rsidR="00230C7E" w:rsidRDefault="006021D2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b/>
          <w:sz w:val="24"/>
          <w:szCs w:val="24"/>
          <w:highlight w:val="white"/>
          <w:u w:val="single"/>
        </w:rPr>
        <w:t>1. Policy statement</w:t>
      </w:r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 xml:space="preserve">: </w:t>
      </w:r>
    </w:p>
    <w:p w14:paraId="13F57D52" w14:textId="77777777" w:rsidR="00230C7E" w:rsidRDefault="006021D2">
      <w:pPr>
        <w:spacing w:after="0" w:line="240" w:lineRule="auto"/>
        <w:ind w:left="270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1.1. 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>SEA violates universally recognized international legal norms and standards and are unacceptable behaviors and prohibited cond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uct for all humanitarian workers, including 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>Organization] employees and related personnel.</w:t>
      </w:r>
      <w:r>
        <w:rPr>
          <w:rFonts w:ascii="Trebuchet MS" w:eastAsia="Trebuchet MS" w:hAnsi="Trebuchet MS" w:cs="Trebuchet MS"/>
          <w:sz w:val="24"/>
          <w:szCs w:val="24"/>
          <w:highlight w:val="white"/>
          <w:vertAlign w:val="superscript"/>
        </w:rPr>
        <w:footnoteReference w:id="2"/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 </w:t>
      </w:r>
    </w:p>
    <w:p w14:paraId="13F57D53" w14:textId="02A1274B" w:rsidR="00230C7E" w:rsidRDefault="006021D2">
      <w:pPr>
        <w:spacing w:after="0" w:line="240" w:lineRule="auto"/>
        <w:ind w:left="270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1.2. </w:t>
      </w:r>
      <w:r w:rsidR="00203793"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Organization 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has a policy of zero tolerance towards SEA. All </w:t>
      </w:r>
      <w:r w:rsidR="00203793"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Organization 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>employees and related personnel</w:t>
      </w:r>
      <w:r>
        <w:rPr>
          <w:rFonts w:ascii="Trebuchet MS" w:eastAsia="Trebuchet MS" w:hAnsi="Trebuchet MS" w:cs="Trebuchet MS"/>
          <w:sz w:val="24"/>
          <w:szCs w:val="24"/>
          <w:highlight w:val="white"/>
          <w:vertAlign w:val="superscript"/>
        </w:rPr>
        <w:footnoteReference w:id="3"/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 are expected to uphold the highest standards 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>of personal and professional conduct at all times, and to provide humanitarian assistance and services in a manner that respects and fosters the rights of beneficiaries and other vulnerable members of the local communities.</w:t>
      </w:r>
    </w:p>
    <w:p w14:paraId="13F57D54" w14:textId="77777777" w:rsidR="00230C7E" w:rsidRDefault="00230C7E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4"/>
          <w:szCs w:val="24"/>
          <w:highlight w:val="white"/>
          <w:u w:val="single"/>
        </w:rPr>
      </w:pPr>
    </w:p>
    <w:p w14:paraId="13F57D55" w14:textId="77777777" w:rsidR="00230C7E" w:rsidRDefault="006021D2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b/>
          <w:sz w:val="24"/>
          <w:szCs w:val="24"/>
          <w:highlight w:val="white"/>
          <w:u w:val="single"/>
        </w:rPr>
        <w:t>2. Scope of application:</w:t>
      </w:r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 xml:space="preserve"> </w:t>
      </w:r>
    </w:p>
    <w:p w14:paraId="13F57D56" w14:textId="31B07AE4" w:rsidR="00230C7E" w:rsidRDefault="006021D2">
      <w:pPr>
        <w:spacing w:after="0" w:line="240" w:lineRule="auto"/>
        <w:ind w:left="270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2.1. 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This policy sets out </w:t>
      </w:r>
      <w:r w:rsidR="00203793"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Organization 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approach to prevent and respond to SEA. The policy applies to all employees and related personnel, both on-and off-duty. </w:t>
      </w:r>
    </w:p>
    <w:p w14:paraId="13F57D57" w14:textId="77777777" w:rsidR="00230C7E" w:rsidRDefault="00230C7E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4"/>
          <w:szCs w:val="24"/>
          <w:highlight w:val="white"/>
          <w:u w:val="single"/>
        </w:rPr>
      </w:pPr>
    </w:p>
    <w:p w14:paraId="13F57D58" w14:textId="77777777" w:rsidR="00230C7E" w:rsidRDefault="006021D2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b/>
          <w:sz w:val="24"/>
          <w:szCs w:val="24"/>
          <w:highlight w:val="white"/>
          <w:u w:val="single"/>
        </w:rPr>
        <w:t>3. Definitions of SEA</w:t>
      </w:r>
      <w:r>
        <w:rPr>
          <w:rFonts w:ascii="Trebuchet MS" w:eastAsia="Trebuchet MS" w:hAnsi="Trebuchet MS" w:cs="Trebuchet MS"/>
          <w:sz w:val="24"/>
          <w:szCs w:val="24"/>
          <w:highlight w:val="white"/>
          <w:vertAlign w:val="superscript"/>
        </w:rPr>
        <w:footnoteReference w:id="4"/>
      </w:r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 xml:space="preserve">: </w:t>
      </w:r>
    </w:p>
    <w:p w14:paraId="13F57D59" w14:textId="77777777" w:rsidR="00230C7E" w:rsidRDefault="006021D2">
      <w:pPr>
        <w:spacing w:after="0" w:line="240" w:lineRule="auto"/>
        <w:ind w:left="270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sz w:val="24"/>
          <w:szCs w:val="24"/>
          <w:highlight w:val="white"/>
        </w:rPr>
        <w:t>3.1. For the purposes of the present policy the term ‘</w:t>
      </w:r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>sexual exploitation’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 means any actual or attempted abuse of a position of vulnerability, differential power, or trust, for sexual purposes, including, but not limited to, profiting monetarily, socially or politically from the sexual exploitation of another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. </w:t>
      </w:r>
    </w:p>
    <w:p w14:paraId="13F57D5A" w14:textId="77777777" w:rsidR="00230C7E" w:rsidRDefault="006021D2">
      <w:pPr>
        <w:spacing w:after="0" w:line="240" w:lineRule="auto"/>
        <w:ind w:left="270"/>
        <w:jc w:val="both"/>
        <w:rPr>
          <w:rFonts w:ascii="Trebuchet MS" w:eastAsia="Trebuchet MS" w:hAnsi="Trebuchet MS" w:cs="Trebuchet MS"/>
          <w:b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3.2. Similarly, the term </w:t>
      </w:r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>‘sexual abuse’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 means the actual or threatened physical intrusion of a sexual nature, whether by force or under unequal or coercive conditions.</w:t>
      </w:r>
    </w:p>
    <w:p w14:paraId="13F57D5B" w14:textId="77777777" w:rsidR="00230C7E" w:rsidRDefault="00230C7E">
      <w:pPr>
        <w:spacing w:after="0" w:line="240" w:lineRule="auto"/>
        <w:ind w:left="270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</w:p>
    <w:p w14:paraId="13F57D5C" w14:textId="77777777" w:rsidR="00230C7E" w:rsidRDefault="006021D2" w:rsidP="00203793">
      <w:pPr>
        <w:keepNext/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b/>
          <w:sz w:val="24"/>
          <w:szCs w:val="24"/>
          <w:highlight w:val="white"/>
          <w:u w:val="single"/>
        </w:rPr>
        <w:lastRenderedPageBreak/>
        <w:t>4. Commitment to PSEA: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 </w:t>
      </w:r>
    </w:p>
    <w:p w14:paraId="13F57D5D" w14:textId="6DC439AD" w:rsidR="00230C7E" w:rsidRDefault="006021D2">
      <w:pPr>
        <w:spacing w:after="0" w:line="240" w:lineRule="auto"/>
        <w:ind w:left="270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4.1. </w:t>
      </w:r>
      <w:r w:rsidR="00203793"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Organization 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>will make every effort to create and mai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>ntain a safe environment, free from SEA, and shall take appropriate measures for this purpose in the communities where it operates, through a robust PSEA framework, including prevention and response measures.</w:t>
      </w:r>
    </w:p>
    <w:p w14:paraId="13F57D5E" w14:textId="1BE58A00" w:rsidR="00230C7E" w:rsidRDefault="006021D2">
      <w:pPr>
        <w:spacing w:after="0" w:line="240" w:lineRule="auto"/>
        <w:ind w:left="270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4.2. This PSEA framework, affirms </w:t>
      </w:r>
      <w:r w:rsidR="00203793"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Organization 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>commitment to the UN Secretary General’s Bulletin on Special Measures for protection from sexual exploitation and sexual abuse (ST/SGB/2003/13) and to achieving full, ongoing implementation of the IASC Six Core Principles relating to SEA</w:t>
      </w:r>
      <w:r>
        <w:rPr>
          <w:rFonts w:ascii="Trebuchet MS" w:eastAsia="Trebuchet MS" w:hAnsi="Trebuchet MS" w:cs="Trebuchet MS"/>
          <w:sz w:val="24"/>
          <w:szCs w:val="24"/>
          <w:highlight w:val="white"/>
          <w:vertAlign w:val="superscript"/>
        </w:rPr>
        <w:footnoteReference w:id="5"/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. </w:t>
      </w:r>
    </w:p>
    <w:p w14:paraId="13F57D5F" w14:textId="77777777" w:rsidR="00230C7E" w:rsidRDefault="00230C7E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4"/>
          <w:szCs w:val="24"/>
          <w:highlight w:val="white"/>
          <w:u w:val="single"/>
        </w:rPr>
      </w:pPr>
    </w:p>
    <w:p w14:paraId="13F57D60" w14:textId="77777777" w:rsidR="00230C7E" w:rsidRDefault="006021D2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b/>
          <w:sz w:val="24"/>
          <w:szCs w:val="24"/>
          <w:highlight w:val="white"/>
          <w:u w:val="single"/>
        </w:rPr>
        <w:t>5. Six core principles</w:t>
      </w:r>
      <w:r>
        <w:rPr>
          <w:rFonts w:ascii="Trebuchet MS" w:eastAsia="Trebuchet MS" w:hAnsi="Trebuchet MS" w:cs="Trebuchet MS"/>
          <w:b/>
          <w:sz w:val="24"/>
          <w:szCs w:val="24"/>
          <w:highlight w:val="white"/>
          <w:u w:val="single"/>
          <w:vertAlign w:val="superscript"/>
        </w:rPr>
        <w:footnoteReference w:id="6"/>
      </w:r>
      <w:r>
        <w:rPr>
          <w:rFonts w:ascii="Trebuchet MS" w:eastAsia="Trebuchet MS" w:hAnsi="Trebuchet MS" w:cs="Trebuchet MS"/>
          <w:b/>
          <w:sz w:val="24"/>
          <w:szCs w:val="24"/>
          <w:highlight w:val="white"/>
          <w:u w:val="single"/>
        </w:rPr>
        <w:t>:</w:t>
      </w:r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 xml:space="preserve"> </w:t>
      </w:r>
    </w:p>
    <w:p w14:paraId="13F57D61" w14:textId="2ED6D08C" w:rsidR="00230C7E" w:rsidRDefault="006021D2">
      <w:pPr>
        <w:spacing w:after="0" w:line="240" w:lineRule="auto"/>
        <w:ind w:left="270"/>
        <w:jc w:val="both"/>
        <w:rPr>
          <w:rFonts w:ascii="Trebuchet MS" w:eastAsia="Trebuchet MS" w:hAnsi="Trebuchet MS" w:cs="Trebuchet MS"/>
          <w:b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sz w:val="24"/>
          <w:szCs w:val="24"/>
          <w:highlight w:val="white"/>
        </w:rPr>
        <w:t>5.1.</w:t>
      </w:r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SEA by </w:t>
      </w:r>
      <w:r w:rsidR="00203793"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Organization 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>employees and related personnel constitute acts of gross misconduct and are therefore grounds for termination of employment</w:t>
      </w:r>
      <w:r>
        <w:rPr>
          <w:rFonts w:ascii="Trebuchet MS" w:eastAsia="Trebuchet MS" w:hAnsi="Trebuchet MS" w:cs="Trebuchet MS"/>
          <w:sz w:val="24"/>
          <w:szCs w:val="24"/>
          <w:highlight w:val="white"/>
          <w:vertAlign w:val="superscript"/>
        </w:rPr>
        <w:footnoteReference w:id="7"/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>.</w:t>
      </w:r>
    </w:p>
    <w:p w14:paraId="13F57D62" w14:textId="77777777" w:rsidR="00230C7E" w:rsidRDefault="006021D2">
      <w:pPr>
        <w:spacing w:after="0" w:line="240" w:lineRule="auto"/>
        <w:ind w:left="270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sz w:val="24"/>
          <w:szCs w:val="24"/>
          <w:highlight w:val="white"/>
        </w:rPr>
        <w:t>5.2. Sexual activity with children (persons under the age of 18) is prohibi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>ted regardless of the age of majority or age of consent locally. Mistaken belief regarding the age of a child is not a defense.</w:t>
      </w:r>
    </w:p>
    <w:p w14:paraId="13F57D63" w14:textId="77777777" w:rsidR="00230C7E" w:rsidRDefault="006021D2">
      <w:pPr>
        <w:spacing w:after="0" w:line="240" w:lineRule="auto"/>
        <w:ind w:left="270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sz w:val="24"/>
          <w:szCs w:val="24"/>
          <w:highlight w:val="white"/>
        </w:rPr>
        <w:t>5.3. Exchange of money, employment, goods, or services for sex, including sexual favors or other forms of humiliating, degrading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 or exploitative behavior is prohibited. This includes exchange of assistance that is due to beneficiaries.</w:t>
      </w:r>
    </w:p>
    <w:p w14:paraId="13F57D64" w14:textId="4172FFC0" w:rsidR="00230C7E" w:rsidRDefault="006021D2">
      <w:pPr>
        <w:spacing w:after="0" w:line="240" w:lineRule="auto"/>
        <w:ind w:left="270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5.4. Any sexual relationship between </w:t>
      </w:r>
      <w:r w:rsidR="00203793"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Organization 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>employees or related personnel and beneficiaries of assistance or other vulnerable members of th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>e local community that involves improper use of rank or position is prohibited. Such relationships undermine the credibility and integrity of humanitarian aid work.</w:t>
      </w:r>
    </w:p>
    <w:p w14:paraId="13F57D65" w14:textId="73CA3E75" w:rsidR="00230C7E" w:rsidRDefault="006021D2">
      <w:pPr>
        <w:spacing w:after="0" w:line="240" w:lineRule="auto"/>
        <w:ind w:left="270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5.5. Where an </w:t>
      </w:r>
      <w:r w:rsidR="00203793"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Organization 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employee or related personnel develops concerns or suspicions 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>regarding sexual abuse or exploitation by a fellow worker, whether in the same organization or not, he or she must report such concerns via established reporting mechanisms.</w:t>
      </w:r>
    </w:p>
    <w:p w14:paraId="13F57D66" w14:textId="30CAF7A1" w:rsidR="00230C7E" w:rsidRDefault="006021D2">
      <w:pPr>
        <w:spacing w:line="240" w:lineRule="auto"/>
        <w:ind w:left="270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5.6. All </w:t>
      </w:r>
      <w:r w:rsidR="00203793"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Organization 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employees and related personnel are obliged to create and 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>maintain an environment which prevents SEA and promotes the implementation of this policy. Managers at all levels have particular responsibilities to support and develop systems which maintain this environment.</w:t>
      </w:r>
    </w:p>
    <w:p w14:paraId="13F57D67" w14:textId="77777777" w:rsidR="00230C7E" w:rsidRDefault="006021D2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b/>
          <w:sz w:val="24"/>
          <w:szCs w:val="24"/>
          <w:highlight w:val="white"/>
          <w:u w:val="single"/>
        </w:rPr>
        <w:t>6. PSEA framework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>:</w:t>
      </w:r>
    </w:p>
    <w:p w14:paraId="13F57D68" w14:textId="77777777" w:rsidR="00230C7E" w:rsidRDefault="006021D2">
      <w:pPr>
        <w:spacing w:after="0" w:line="240" w:lineRule="auto"/>
        <w:ind w:left="270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sz w:val="24"/>
          <w:szCs w:val="24"/>
          <w:highlight w:val="white"/>
        </w:rPr>
        <w:t>6.1. Prevention:</w:t>
      </w:r>
    </w:p>
    <w:p w14:paraId="13F57D69" w14:textId="7F46D8B8" w:rsidR="00230C7E" w:rsidRDefault="006021D2">
      <w:pPr>
        <w:spacing w:after="0" w:line="240" w:lineRule="auto"/>
        <w:ind w:left="630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sz w:val="24"/>
          <w:szCs w:val="24"/>
          <w:highlight w:val="white"/>
          <w:u w:val="single"/>
        </w:rPr>
        <w:t>6.1.1. Vetting: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 </w:t>
      </w:r>
      <w:r w:rsidR="00203793"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Organization 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>systematically vets all prospective job candidates in accordance with established screening procedures.</w:t>
      </w:r>
    </w:p>
    <w:p w14:paraId="13F57D6A" w14:textId="5BF515C2" w:rsidR="00230C7E" w:rsidRDefault="006021D2">
      <w:pPr>
        <w:widowControl w:val="0"/>
        <w:spacing w:after="0" w:line="240" w:lineRule="auto"/>
        <w:ind w:left="630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sz w:val="24"/>
          <w:szCs w:val="24"/>
          <w:highlight w:val="white"/>
          <w:u w:val="single"/>
        </w:rPr>
        <w:t>6.1.2. Training: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 </w:t>
      </w:r>
      <w:r w:rsidR="00203793"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Organization 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>holds mandatory induction and refresher trainings</w:t>
      </w:r>
      <w:r>
        <w:rPr>
          <w:rFonts w:ascii="Trebuchet MS" w:eastAsia="Trebuchet MS" w:hAnsi="Trebuchet MS" w:cs="Trebuchet MS"/>
          <w:sz w:val="24"/>
          <w:szCs w:val="24"/>
          <w:highlight w:val="white"/>
          <w:vertAlign w:val="superscript"/>
        </w:rPr>
        <w:footnoteReference w:id="8"/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 for all employees an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d related personnel on the Organization’s SEA policy and 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lastRenderedPageBreak/>
        <w:t xml:space="preserve">procedures. </w:t>
      </w:r>
    </w:p>
    <w:p w14:paraId="13F57D6B" w14:textId="77777777" w:rsidR="00230C7E" w:rsidRDefault="00230C7E">
      <w:pPr>
        <w:widowControl w:val="0"/>
        <w:spacing w:after="0" w:line="240" w:lineRule="auto"/>
        <w:ind w:left="630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</w:p>
    <w:p w14:paraId="13F57D6C" w14:textId="77777777" w:rsidR="00230C7E" w:rsidRDefault="006021D2">
      <w:pPr>
        <w:widowControl w:val="0"/>
        <w:spacing w:after="0" w:line="240" w:lineRule="auto"/>
        <w:ind w:left="270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6.2. Response: </w:t>
      </w:r>
    </w:p>
    <w:p w14:paraId="13F57D6D" w14:textId="71A9739C" w:rsidR="00230C7E" w:rsidRDefault="006021D2">
      <w:pPr>
        <w:widowControl w:val="0"/>
        <w:spacing w:after="0" w:line="240" w:lineRule="auto"/>
        <w:ind w:left="630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sz w:val="24"/>
          <w:szCs w:val="24"/>
          <w:highlight w:val="white"/>
          <w:u w:val="single"/>
        </w:rPr>
        <w:t>6.2.1. Reporting: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 </w:t>
      </w:r>
      <w:r w:rsidR="00203793"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Organization 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>has safe, confidential and accessible mechanisms and procedures for personnel, beneficiaries and communities, including children, to rep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ort SEA allegations that and ensures that beneficiaries are aware of these.  </w:t>
      </w:r>
    </w:p>
    <w:p w14:paraId="13F57D6E" w14:textId="0CC515AC" w:rsidR="00230C7E" w:rsidRDefault="006021D2">
      <w:pPr>
        <w:widowControl w:val="0"/>
        <w:spacing w:after="0" w:line="240" w:lineRule="auto"/>
        <w:ind w:left="630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sz w:val="24"/>
          <w:szCs w:val="24"/>
          <w:highlight w:val="white"/>
          <w:u w:val="single"/>
        </w:rPr>
        <w:t>6.2.2. Investigation: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 </w:t>
      </w:r>
      <w:r w:rsidR="00203793"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Organization 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>has a process for investigation of SEA allegations in place and shall properly and without delay conduct an investigation of SEA by its emplo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>yees or related personnel, or refer to the proper investigative body if the perpetrator is affiliated with another entity.</w:t>
      </w:r>
    </w:p>
    <w:p w14:paraId="13F57D6F" w14:textId="77777777" w:rsidR="00230C7E" w:rsidRDefault="006021D2">
      <w:pPr>
        <w:widowControl w:val="0"/>
        <w:spacing w:after="0" w:line="240" w:lineRule="auto"/>
        <w:ind w:left="810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sz w:val="24"/>
          <w:szCs w:val="24"/>
          <w:highlight w:val="white"/>
          <w:u w:val="single"/>
        </w:rPr>
        <w:t>6.2.2.1. Referral to National Authorities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>: If, after proper investigation, there is evidence to support allegations of SEA, these cases may be referred to national authorities for criminal prosecution.</w:t>
      </w:r>
    </w:p>
    <w:p w14:paraId="13F57D70" w14:textId="5E5AB851" w:rsidR="00230C7E" w:rsidRDefault="006021D2">
      <w:pPr>
        <w:spacing w:line="240" w:lineRule="auto"/>
        <w:ind w:left="630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sz w:val="24"/>
          <w:szCs w:val="24"/>
          <w:highlight w:val="white"/>
          <w:u w:val="single"/>
        </w:rPr>
        <w:t>6.2.3. Victim assistance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: </w:t>
      </w:r>
      <w:r w:rsidR="00203793"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Organization 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>has a system to promptly refer SEA survivors to availa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>ble services, based on their needs and consent.</w:t>
      </w:r>
    </w:p>
    <w:p w14:paraId="13F57D71" w14:textId="77777777" w:rsidR="00230C7E" w:rsidRDefault="006021D2">
      <w:pPr>
        <w:spacing w:after="0" w:line="240" w:lineRule="auto"/>
        <w:ind w:left="270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6.3. Cooperative arrangements: </w:t>
      </w:r>
    </w:p>
    <w:p w14:paraId="13F57D72" w14:textId="77777777" w:rsidR="00230C7E" w:rsidRDefault="006021D2">
      <w:pPr>
        <w:spacing w:after="0" w:line="240" w:lineRule="auto"/>
        <w:ind w:left="630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sz w:val="24"/>
          <w:szCs w:val="24"/>
          <w:highlight w:val="white"/>
        </w:rPr>
        <w:t>6.3.1. All [Organizations] contracts and partnership agreements include a standard clause requiring contractors, suppliers, consultants and sub-partners to commit to a zero-tol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erance policy on SEA and to take measures to prevent and respond to SEA. </w:t>
      </w:r>
    </w:p>
    <w:p w14:paraId="13F57D73" w14:textId="77777777" w:rsidR="00230C7E" w:rsidRDefault="006021D2">
      <w:pPr>
        <w:spacing w:after="0" w:line="240" w:lineRule="auto"/>
        <w:ind w:left="630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sz w:val="24"/>
          <w:szCs w:val="24"/>
          <w:highlight w:val="white"/>
        </w:rPr>
        <w:t>6.3.2. The failure of those entities or individuals to take preventive measures against SEA, to investigate allegations thereof, or to take corrective action when SEA has occurred, s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>hall constitute grounds for termination of any cooperative arrangement.</w:t>
      </w:r>
    </w:p>
    <w:sectPr w:rsidR="00230C7E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0CE11" w14:textId="77777777" w:rsidR="00000000" w:rsidRDefault="006021D2">
      <w:pPr>
        <w:spacing w:after="0" w:line="240" w:lineRule="auto"/>
      </w:pPr>
      <w:r>
        <w:separator/>
      </w:r>
    </w:p>
  </w:endnote>
  <w:endnote w:type="continuationSeparator" w:id="0">
    <w:p w14:paraId="0625055B" w14:textId="77777777" w:rsidR="00000000" w:rsidRDefault="006021D2">
      <w:pPr>
        <w:spacing w:after="0" w:line="240" w:lineRule="auto"/>
      </w:pPr>
      <w:r>
        <w:continuationSeparator/>
      </w:r>
    </w:p>
  </w:endnote>
  <w:endnote w:type="continuationNotice" w:id="1">
    <w:p w14:paraId="3E942FE5" w14:textId="77777777" w:rsidR="006021D2" w:rsidRDefault="006021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11B63" w14:textId="77777777" w:rsidR="00000000" w:rsidRDefault="006021D2">
      <w:pPr>
        <w:spacing w:after="0" w:line="240" w:lineRule="auto"/>
      </w:pPr>
      <w:r>
        <w:separator/>
      </w:r>
    </w:p>
  </w:footnote>
  <w:footnote w:type="continuationSeparator" w:id="0">
    <w:p w14:paraId="585DD9F1" w14:textId="77777777" w:rsidR="00000000" w:rsidRDefault="006021D2">
      <w:pPr>
        <w:spacing w:after="0" w:line="240" w:lineRule="auto"/>
      </w:pPr>
      <w:r>
        <w:continuationSeparator/>
      </w:r>
    </w:p>
  </w:footnote>
  <w:footnote w:type="continuationNotice" w:id="1">
    <w:p w14:paraId="62BC5F5F" w14:textId="77777777" w:rsidR="006021D2" w:rsidRDefault="006021D2">
      <w:pPr>
        <w:spacing w:after="0" w:line="240" w:lineRule="auto"/>
      </w:pPr>
    </w:p>
  </w:footnote>
  <w:footnote w:id="2">
    <w:p w14:paraId="13F57D76" w14:textId="77777777" w:rsidR="00230C7E" w:rsidRDefault="00602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rStyle w:val="FootnoteReference"/>
        </w:rPr>
        <w:footnoteRef/>
      </w:r>
      <w:r>
        <w:rPr>
          <w:color w:val="000000"/>
          <w:sz w:val="18"/>
          <w:szCs w:val="18"/>
        </w:rPr>
        <w:t xml:space="preserve"> From the UN Secretary General’s Bulletin ST/SGB/2003/13, 2003. Available at: </w:t>
      </w:r>
      <w:hyperlink r:id="rId1">
        <w:r>
          <w:rPr>
            <w:color w:val="0563C1"/>
            <w:sz w:val="18"/>
            <w:szCs w:val="18"/>
            <w:u w:val="single"/>
          </w:rPr>
          <w:t>https://undocs.org/en/ST/SGB/2003/13</w:t>
        </w:r>
      </w:hyperlink>
      <w:r>
        <w:rPr>
          <w:color w:val="000000"/>
          <w:sz w:val="18"/>
          <w:szCs w:val="18"/>
        </w:rPr>
        <w:t xml:space="preserve"> </w:t>
      </w:r>
    </w:p>
  </w:footnote>
  <w:footnote w:id="3">
    <w:p w14:paraId="13F57D77" w14:textId="77777777" w:rsidR="00230C7E" w:rsidRDefault="00602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rStyle w:val="FootnoteReference"/>
        </w:rPr>
        <w:footnoteRef/>
      </w:r>
      <w:r>
        <w:rPr>
          <w:color w:val="000000"/>
          <w:sz w:val="18"/>
          <w:szCs w:val="18"/>
        </w:rPr>
        <w:t xml:space="preserve"> The term “related personnel” include, for example, sub-contractors, consultants, i</w:t>
      </w:r>
      <w:r>
        <w:rPr>
          <w:color w:val="000000"/>
          <w:sz w:val="18"/>
          <w:szCs w:val="18"/>
        </w:rPr>
        <w:t>nterns or volunteers associated with or working on behalf of the Organization.</w:t>
      </w:r>
    </w:p>
  </w:footnote>
  <w:footnote w:id="4">
    <w:p w14:paraId="13F57D78" w14:textId="77777777" w:rsidR="00230C7E" w:rsidRDefault="00602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rStyle w:val="FootnoteReference"/>
        </w:rPr>
        <w:footnoteRef/>
      </w:r>
      <w:r>
        <w:rPr>
          <w:color w:val="000000"/>
          <w:sz w:val="18"/>
          <w:szCs w:val="18"/>
        </w:rPr>
        <w:t xml:space="preserve"> Both definitions are adopted from the UN Secretary General’s Bulletin ST/SGB/2003/13, 2003. Available at: </w:t>
      </w:r>
      <w:hyperlink r:id="rId2">
        <w:r>
          <w:rPr>
            <w:color w:val="0563C1"/>
            <w:sz w:val="18"/>
            <w:szCs w:val="18"/>
            <w:u w:val="single"/>
          </w:rPr>
          <w:t>https://undoc</w:t>
        </w:r>
        <w:r>
          <w:rPr>
            <w:color w:val="0563C1"/>
            <w:sz w:val="18"/>
            <w:szCs w:val="18"/>
            <w:u w:val="single"/>
          </w:rPr>
          <w:t>s.org/en/ST/SGB/2003/13</w:t>
        </w:r>
      </w:hyperlink>
      <w:r>
        <w:rPr>
          <w:color w:val="000000"/>
          <w:sz w:val="18"/>
          <w:szCs w:val="18"/>
        </w:rPr>
        <w:t xml:space="preserve"> </w:t>
      </w:r>
    </w:p>
  </w:footnote>
  <w:footnote w:id="5">
    <w:p w14:paraId="13F57D79" w14:textId="77777777" w:rsidR="00230C7E" w:rsidRDefault="00602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rStyle w:val="FootnoteReference"/>
        </w:rPr>
        <w:footnoteRef/>
      </w:r>
      <w:r>
        <w:rPr>
          <w:color w:val="000000"/>
          <w:sz w:val="18"/>
          <w:szCs w:val="18"/>
        </w:rPr>
        <w:t xml:space="preserve"> IASC Six Core Principles relating to SEA, 2002. Available at: </w:t>
      </w:r>
      <w:hyperlink r:id="rId3">
        <w:r>
          <w:rPr>
            <w:color w:val="0563C1"/>
            <w:sz w:val="18"/>
            <w:szCs w:val="18"/>
            <w:u w:val="single"/>
          </w:rPr>
          <w:t>https://int</w:t>
        </w:r>
        <w:r>
          <w:rPr>
            <w:color w:val="0563C1"/>
            <w:sz w:val="18"/>
            <w:szCs w:val="18"/>
            <w:u w:val="single"/>
          </w:rPr>
          <w:t>eragencystandingcommittee.org/inter-agency-standing-committee/iasc-six-core-principles-relating-sexual-exploitation-and-abuse</w:t>
        </w:r>
      </w:hyperlink>
      <w:r>
        <w:rPr>
          <w:color w:val="000000"/>
          <w:sz w:val="18"/>
          <w:szCs w:val="18"/>
        </w:rPr>
        <w:t xml:space="preserve">. </w:t>
      </w:r>
    </w:p>
    <w:bookmarkStart w:id="0" w:name="_heading=h.gjdgxs" w:colFirst="0" w:colLast="0"/>
    <w:bookmarkEnd w:id="0"/>
  </w:footnote>
  <w:footnote w:id="6">
    <w:p w14:paraId="13F57D7A" w14:textId="77777777" w:rsidR="00230C7E" w:rsidRDefault="00602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bookmarkStart w:id="1" w:name="_heading=h.gjdgxs" w:colFirst="0" w:colLast="0"/>
      <w:bookmarkEnd w:id="1"/>
      <w:r>
        <w:rPr>
          <w:rStyle w:val="FootnoteReference"/>
        </w:rPr>
        <w:footnoteRef/>
      </w:r>
      <w:r>
        <w:rPr>
          <w:color w:val="000000"/>
          <w:sz w:val="18"/>
          <w:szCs w:val="18"/>
        </w:rPr>
        <w:t xml:space="preserve"> Modified for the purposes of this PSEA policy. These acts are not intended to be an exhaustive list</w:t>
      </w:r>
      <w:r>
        <w:rPr>
          <w:i/>
          <w:color w:val="000000"/>
          <w:sz w:val="18"/>
          <w:szCs w:val="18"/>
        </w:rPr>
        <w:t>.</w:t>
      </w:r>
    </w:p>
  </w:footnote>
  <w:footnote w:id="7">
    <w:p w14:paraId="13F57D7B" w14:textId="77777777" w:rsidR="00230C7E" w:rsidRDefault="00602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rStyle w:val="FootnoteReference"/>
        </w:rPr>
        <w:footnoteRef/>
      </w:r>
      <w:r>
        <w:rPr>
          <w:color w:val="000000"/>
          <w:sz w:val="18"/>
          <w:szCs w:val="18"/>
        </w:rPr>
        <w:t xml:space="preserve"> Including all other for</w:t>
      </w:r>
      <w:r>
        <w:rPr>
          <w:color w:val="000000"/>
          <w:sz w:val="18"/>
          <w:szCs w:val="18"/>
        </w:rPr>
        <w:t>ms of contractual agreements, such as for example volunteer assignment.</w:t>
      </w:r>
    </w:p>
  </w:footnote>
  <w:footnote w:id="8">
    <w:p w14:paraId="13F57D7C" w14:textId="77777777" w:rsidR="00230C7E" w:rsidRDefault="00602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rStyle w:val="FootnoteReference"/>
        </w:rPr>
        <w:footnoteRef/>
      </w:r>
      <w:r>
        <w:rPr>
          <w:color w:val="000000"/>
          <w:sz w:val="18"/>
          <w:szCs w:val="18"/>
        </w:rPr>
        <w:t xml:space="preserve"> The training includes at a minimum: 1) a definition of SEA (that is aligned with the UN's definition); 2) a prohibition of SEA; and 3) actions that employees and related personnel ar</w:t>
      </w:r>
      <w:r>
        <w:rPr>
          <w:color w:val="000000"/>
          <w:sz w:val="18"/>
          <w:szCs w:val="18"/>
        </w:rPr>
        <w:t>e required to take (i.e. prompt reporting of allegations and referral of survivors).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7D74" w14:textId="77777777" w:rsidR="00230C7E" w:rsidRDefault="006021D2">
    <w:pPr>
      <w:spacing w:line="276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PSEA Policy template</w:t>
    </w:r>
  </w:p>
  <w:p w14:paraId="13F57D75" w14:textId="77777777" w:rsidR="00230C7E" w:rsidRDefault="00230C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AAB"/>
    <w:rsid w:val="00203793"/>
    <w:rsid w:val="00230C7E"/>
    <w:rsid w:val="006021D2"/>
    <w:rsid w:val="00D32AAB"/>
    <w:rsid w:val="00E7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57D4A"/>
  <w15:docId w15:val="{D3D024DA-BEF1-48EF-95DB-113DC83D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2928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BB693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7A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7A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7A2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D07A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2D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3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1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190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928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D64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C9E"/>
  </w:style>
  <w:style w:type="paragraph" w:styleId="Footer">
    <w:name w:val="footer"/>
    <w:basedOn w:val="Normal"/>
    <w:link w:val="FooterChar"/>
    <w:uiPriority w:val="99"/>
    <w:unhideWhenUsed/>
    <w:rsid w:val="00D64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C9E"/>
  </w:style>
  <w:style w:type="character" w:styleId="Emphasis">
    <w:name w:val="Emphasis"/>
    <w:basedOn w:val="DefaultParagraphFont"/>
    <w:uiPriority w:val="20"/>
    <w:qFormat/>
    <w:rsid w:val="0070027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E03B6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interagencystandingcommittee.org/inter-agency-standing-committee/iasc-six-core-principles-relating-sexual-exploitation-and-abuse" TargetMode="External"/><Relationship Id="rId2" Type="http://schemas.openxmlformats.org/officeDocument/2006/relationships/hyperlink" Target="https://undocs.org/en/ST/SGB/2003/13" TargetMode="External"/><Relationship Id="rId1" Type="http://schemas.openxmlformats.org/officeDocument/2006/relationships/hyperlink" Target="https://undocs.org/en/ST/SGB/2003/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xHbl1u4znNMfDlX8h3Ee6fW6lA==">AMUW2mVfKyjmK4FF6wGV8pPId3cmDuBLCXewhn/HZpi3Q2yIPLEqyX8pTnTMvYPbcdcgloV11kCqKQrxvCuI8vLvqZxS4++4y3f4YpIVxjaKxWYMdyFydTpYdFXzGw0lIdhrGWfPomGW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71396461BBA4B9E7422964A197F7A" ma:contentTypeVersion="16" ma:contentTypeDescription="Create a new document." ma:contentTypeScope="" ma:versionID="b48405287de97c3831963ec4f8c92710">
  <xsd:schema xmlns:xsd="http://www.w3.org/2001/XMLSchema" xmlns:xs="http://www.w3.org/2001/XMLSchema" xmlns:p="http://schemas.microsoft.com/office/2006/metadata/properties" xmlns:ns2="e1ef0f78-9f7c-4e89-a533-daf9479c6e53" xmlns:ns3="791c8019-fd1d-4779-868a-5c965f68b2bd" targetNamespace="http://schemas.microsoft.com/office/2006/metadata/properties" ma:root="true" ma:fieldsID="b85c9852f794711279c16735d59bf069" ns2:_="" ns3:_="">
    <xsd:import namespace="e1ef0f78-9f7c-4e89-a533-daf9479c6e53"/>
    <xsd:import namespace="791c8019-fd1d-4779-868a-5c965f68b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f0f78-9f7c-4e89-a533-daf9479c6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c8019-fd1d-4779-868a-5c965f68b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c0c9c2-992c-4ec4-bbc0-becdc2029267}" ma:internalName="TaxCatchAll" ma:showField="CatchAllData" ma:web="791c8019-fd1d-4779-868a-5c965f68b2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A0FB5A8-56BE-4FC9-9737-82DAB14C3085}"/>
</file>

<file path=customXml/itemProps3.xml><?xml version="1.0" encoding="utf-8"?>
<ds:datastoreItem xmlns:ds="http://schemas.openxmlformats.org/officeDocument/2006/customXml" ds:itemID="{CA6CC913-866C-40B4-8D8D-1FD52EC4D6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Emily Steinert</cp:lastModifiedBy>
  <cp:revision>2</cp:revision>
  <dcterms:created xsi:type="dcterms:W3CDTF">2020-06-15T03:52:00Z</dcterms:created>
  <dcterms:modified xsi:type="dcterms:W3CDTF">2021-12-06T22:40:00Z</dcterms:modified>
</cp:coreProperties>
</file>